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84" w:type="dxa"/>
        <w:tblInd w:w="-318" w:type="dxa"/>
        <w:tblLayout w:type="fixed"/>
        <w:tblLook w:val="04A0"/>
      </w:tblPr>
      <w:tblGrid>
        <w:gridCol w:w="425"/>
        <w:gridCol w:w="1129"/>
        <w:gridCol w:w="284"/>
        <w:gridCol w:w="705"/>
        <w:gridCol w:w="147"/>
        <w:gridCol w:w="279"/>
        <w:gridCol w:w="572"/>
        <w:gridCol w:w="278"/>
        <w:gridCol w:w="572"/>
        <w:gridCol w:w="146"/>
        <w:gridCol w:w="132"/>
        <w:gridCol w:w="573"/>
        <w:gridCol w:w="136"/>
        <w:gridCol w:w="10"/>
        <w:gridCol w:w="704"/>
        <w:gridCol w:w="138"/>
        <w:gridCol w:w="859"/>
        <w:gridCol w:w="997"/>
        <w:gridCol w:w="987"/>
        <w:gridCol w:w="6"/>
        <w:gridCol w:w="885"/>
        <w:gridCol w:w="108"/>
        <w:gridCol w:w="760"/>
        <w:gridCol w:w="234"/>
        <w:gridCol w:w="993"/>
        <w:gridCol w:w="34"/>
        <w:gridCol w:w="236"/>
        <w:gridCol w:w="722"/>
        <w:gridCol w:w="285"/>
        <w:gridCol w:w="708"/>
        <w:gridCol w:w="553"/>
        <w:gridCol w:w="288"/>
        <w:gridCol w:w="151"/>
        <w:gridCol w:w="368"/>
        <w:gridCol w:w="191"/>
        <w:gridCol w:w="282"/>
        <w:gridCol w:w="607"/>
      </w:tblGrid>
      <w:tr w:rsidR="0010787D" w:rsidRPr="0010787D" w:rsidTr="00A54D7B">
        <w:trPr>
          <w:gridAfter w:val="2"/>
          <w:wAfter w:w="889" w:type="dxa"/>
          <w:trHeight w:val="124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71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87D" w:rsidRPr="00013FAE" w:rsidRDefault="0010787D" w:rsidP="00130286">
            <w:pPr>
              <w:jc w:val="center"/>
              <w:rPr>
                <w:b/>
                <w:bCs/>
              </w:rPr>
            </w:pPr>
            <w:r w:rsidRPr="00013FAE">
              <w:rPr>
                <w:b/>
                <w:bCs/>
              </w:rPr>
              <w:t>УТОЧНЕННЫЙ ПРОГНОЗ СОЦИАЛЬНО-ЭКОНОМИЧЕСКОГО РАЗВИТИЯ  ГОРОДСКОГО ПОСЕЛЕНИЯ ТУТАЕВ</w:t>
            </w:r>
            <w:r w:rsidR="00130286">
              <w:rPr>
                <w:b/>
                <w:bCs/>
              </w:rPr>
              <w:t xml:space="preserve"> </w:t>
            </w:r>
            <w:r w:rsidRPr="00013FAE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НА 2019 Г. И ПЛАНОВЫЙ ПЕРИОД 2020-2021 ГГ.</w:t>
            </w:r>
          </w:p>
        </w:tc>
      </w:tr>
      <w:tr w:rsidR="00907F6C" w:rsidRPr="0010787D" w:rsidTr="00A54D7B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2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rPr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rPr>
                <w:sz w:val="22"/>
                <w:szCs w:val="22"/>
              </w:rPr>
            </w:pPr>
          </w:p>
        </w:tc>
      </w:tr>
      <w:tr w:rsidR="00907F6C" w:rsidRPr="0010787D" w:rsidTr="00A54D7B">
        <w:trPr>
          <w:gridAfter w:val="1"/>
          <w:wAfter w:w="607" w:type="dxa"/>
          <w:trHeight w:val="39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10787D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10787D">
              <w:rPr>
                <w:sz w:val="16"/>
                <w:szCs w:val="16"/>
              </w:rPr>
              <w:t>/</w:t>
            </w:r>
            <w:proofErr w:type="spellStart"/>
            <w:r w:rsidRPr="0010787D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787D">
              <w:rPr>
                <w:b/>
                <w:bCs/>
                <w:color w:val="000000"/>
                <w:sz w:val="16"/>
                <w:szCs w:val="16"/>
              </w:rPr>
              <w:t>Показатели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787D">
              <w:rPr>
                <w:b/>
                <w:bCs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787D">
              <w:rPr>
                <w:b/>
                <w:bCs/>
                <w:color w:val="000000"/>
                <w:sz w:val="16"/>
                <w:szCs w:val="16"/>
              </w:rPr>
              <w:t>отчет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787D">
              <w:rPr>
                <w:b/>
                <w:bCs/>
                <w:color w:val="000000"/>
                <w:sz w:val="16"/>
                <w:szCs w:val="16"/>
              </w:rPr>
              <w:t>отчет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787D">
              <w:rPr>
                <w:b/>
                <w:bCs/>
                <w:color w:val="000000"/>
                <w:sz w:val="16"/>
                <w:szCs w:val="16"/>
              </w:rPr>
              <w:t>отчет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787D">
              <w:rPr>
                <w:b/>
                <w:bCs/>
                <w:color w:val="000000"/>
                <w:sz w:val="16"/>
                <w:szCs w:val="16"/>
              </w:rPr>
              <w:t>отчет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787D">
              <w:rPr>
                <w:b/>
                <w:bCs/>
                <w:color w:val="000000"/>
                <w:sz w:val="16"/>
                <w:szCs w:val="16"/>
              </w:rPr>
              <w:t>оценка</w:t>
            </w:r>
          </w:p>
        </w:tc>
        <w:tc>
          <w:tcPr>
            <w:tcW w:w="87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787D">
              <w:rPr>
                <w:b/>
                <w:bCs/>
                <w:color w:val="000000"/>
                <w:sz w:val="16"/>
                <w:szCs w:val="16"/>
              </w:rPr>
              <w:t>прогноз</w:t>
            </w:r>
          </w:p>
        </w:tc>
      </w:tr>
      <w:tr w:rsidR="00907F6C" w:rsidRPr="0010787D" w:rsidTr="00A54D7B">
        <w:trPr>
          <w:gridAfter w:val="1"/>
          <w:wAfter w:w="607" w:type="dxa"/>
          <w:trHeight w:val="30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787D">
              <w:rPr>
                <w:b/>
                <w:bCs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787D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787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787D"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787D"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787D"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297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787D"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787D"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013FAE" w:rsidRPr="0010787D" w:rsidTr="00A54D7B">
        <w:trPr>
          <w:gridAfter w:val="1"/>
          <w:wAfter w:w="607" w:type="dxa"/>
          <w:trHeight w:val="70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787D">
              <w:rPr>
                <w:b/>
                <w:bCs/>
                <w:color w:val="000000"/>
                <w:sz w:val="16"/>
                <w:szCs w:val="16"/>
              </w:rPr>
              <w:t>консервативный (1 вариант)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787D">
              <w:rPr>
                <w:b/>
                <w:bCs/>
                <w:color w:val="000000"/>
                <w:sz w:val="16"/>
                <w:szCs w:val="16"/>
              </w:rPr>
              <w:t>базовый (2 вариант)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787D">
              <w:rPr>
                <w:b/>
                <w:bCs/>
                <w:color w:val="000000"/>
                <w:sz w:val="16"/>
                <w:szCs w:val="16"/>
              </w:rPr>
              <w:t>целевой (3 вариант)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787D">
              <w:rPr>
                <w:b/>
                <w:bCs/>
                <w:color w:val="000000"/>
                <w:sz w:val="16"/>
                <w:szCs w:val="16"/>
              </w:rPr>
              <w:t>консервативный (1 вариант)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787D">
              <w:rPr>
                <w:b/>
                <w:bCs/>
                <w:color w:val="000000"/>
                <w:sz w:val="16"/>
                <w:szCs w:val="16"/>
              </w:rPr>
              <w:t>базовый (2 вариант)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787D">
              <w:rPr>
                <w:b/>
                <w:bCs/>
                <w:color w:val="000000"/>
                <w:sz w:val="16"/>
                <w:szCs w:val="16"/>
              </w:rPr>
              <w:t>целевой (3 вариант)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787D">
              <w:rPr>
                <w:b/>
                <w:bCs/>
                <w:color w:val="000000"/>
                <w:sz w:val="16"/>
                <w:szCs w:val="16"/>
              </w:rPr>
              <w:t>консервативный (1 вариант)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787D">
              <w:rPr>
                <w:b/>
                <w:bCs/>
                <w:color w:val="000000"/>
                <w:sz w:val="16"/>
                <w:szCs w:val="16"/>
              </w:rPr>
              <w:t>базовый (2 вариант)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3FAE">
              <w:rPr>
                <w:b/>
                <w:bCs/>
                <w:color w:val="000000"/>
                <w:sz w:val="16"/>
                <w:szCs w:val="16"/>
              </w:rPr>
              <w:t>целевой (3 вариант)</w:t>
            </w:r>
          </w:p>
        </w:tc>
      </w:tr>
      <w:tr w:rsidR="00013FAE" w:rsidRPr="0010787D" w:rsidTr="00907F6C">
        <w:trPr>
          <w:gridAfter w:val="1"/>
          <w:wAfter w:w="607" w:type="dxa"/>
          <w:trHeight w:val="209"/>
        </w:trPr>
        <w:tc>
          <w:tcPr>
            <w:tcW w:w="1587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AE" w:rsidRPr="00013FAE" w:rsidRDefault="00013FAE" w:rsidP="00013FAE">
            <w:pPr>
              <w:jc w:val="center"/>
            </w:pPr>
            <w:r w:rsidRPr="00013FAE">
              <w:rPr>
                <w:b/>
                <w:bCs/>
              </w:rPr>
              <w:t>1. Население</w:t>
            </w:r>
          </w:p>
        </w:tc>
      </w:tr>
      <w:tr w:rsidR="00013FAE" w:rsidRPr="0010787D" w:rsidTr="00A54D7B">
        <w:trPr>
          <w:gridAfter w:val="1"/>
          <w:wAfter w:w="607" w:type="dxa"/>
          <w:trHeight w:val="30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Численность постоянного населения (среднегодовая) - всего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тыс. человек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40,34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40,36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40,42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40,29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40,23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40,23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40,24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40,24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40,24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40,28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40,28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40,24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40,28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40,28</w:t>
            </w:r>
          </w:p>
        </w:tc>
      </w:tr>
      <w:tr w:rsidR="00013FAE" w:rsidRPr="0010787D" w:rsidTr="00A54D7B">
        <w:trPr>
          <w:gridAfter w:val="1"/>
          <w:wAfter w:w="607" w:type="dxa"/>
          <w:trHeight w:val="30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proofErr w:type="gramStart"/>
            <w:r w:rsidRPr="0010787D">
              <w:rPr>
                <w:sz w:val="16"/>
                <w:szCs w:val="16"/>
              </w:rPr>
              <w:t>в</w:t>
            </w:r>
            <w:proofErr w:type="gramEnd"/>
            <w:r w:rsidRPr="0010787D">
              <w:rPr>
                <w:sz w:val="16"/>
                <w:szCs w:val="16"/>
              </w:rPr>
              <w:t xml:space="preserve"> % </w:t>
            </w:r>
            <w:proofErr w:type="gramStart"/>
            <w:r w:rsidRPr="0010787D">
              <w:rPr>
                <w:sz w:val="16"/>
                <w:szCs w:val="16"/>
              </w:rPr>
              <w:t>к</w:t>
            </w:r>
            <w:proofErr w:type="gramEnd"/>
            <w:r w:rsidRPr="0010787D">
              <w:rPr>
                <w:sz w:val="16"/>
                <w:szCs w:val="16"/>
              </w:rPr>
              <w:t xml:space="preserve"> предыдущему году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ind w:left="-250"/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100,05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100,15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99,7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99,9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100,02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100,2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100</w:t>
            </w:r>
          </w:p>
        </w:tc>
      </w:tr>
      <w:tr w:rsidR="00013FAE" w:rsidRPr="0010787D" w:rsidTr="00A54D7B">
        <w:trPr>
          <w:gridAfter w:val="1"/>
          <w:wAfter w:w="607" w:type="dxa"/>
          <w:trHeight w:val="48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Ожидаемая продолжительность жизни при рождении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число лет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*</w:t>
            </w:r>
          </w:p>
        </w:tc>
      </w:tr>
      <w:tr w:rsidR="00013FAE" w:rsidRPr="0010787D" w:rsidTr="00A54D7B">
        <w:trPr>
          <w:gridAfter w:val="1"/>
          <w:wAfter w:w="607" w:type="dxa"/>
          <w:trHeight w:val="30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 xml:space="preserve">Количество </w:t>
            </w:r>
            <w:proofErr w:type="gramStart"/>
            <w:r w:rsidRPr="0010787D">
              <w:rPr>
                <w:sz w:val="16"/>
                <w:szCs w:val="16"/>
              </w:rPr>
              <w:t>родившихся</w:t>
            </w:r>
            <w:proofErr w:type="gramEnd"/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тыс. человек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0,56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0,56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0,73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0,48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0,48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0,48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0,5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0,52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0,52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0,55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0,52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0,55</w:t>
            </w:r>
          </w:p>
        </w:tc>
      </w:tr>
      <w:tr w:rsidR="00013FAE" w:rsidRPr="0010787D" w:rsidTr="00A54D7B">
        <w:trPr>
          <w:gridAfter w:val="1"/>
          <w:wAfter w:w="607" w:type="dxa"/>
          <w:trHeight w:val="30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proofErr w:type="gramStart"/>
            <w:r w:rsidRPr="0010787D">
              <w:rPr>
                <w:sz w:val="16"/>
                <w:szCs w:val="16"/>
              </w:rPr>
              <w:t>в</w:t>
            </w:r>
            <w:proofErr w:type="gramEnd"/>
            <w:r w:rsidRPr="0010787D">
              <w:rPr>
                <w:sz w:val="16"/>
                <w:szCs w:val="16"/>
              </w:rPr>
              <w:t xml:space="preserve"> % </w:t>
            </w:r>
            <w:proofErr w:type="gramStart"/>
            <w:r w:rsidRPr="0010787D">
              <w:rPr>
                <w:sz w:val="16"/>
                <w:szCs w:val="16"/>
              </w:rPr>
              <w:t>к</w:t>
            </w:r>
            <w:proofErr w:type="gramEnd"/>
            <w:r w:rsidRPr="0010787D">
              <w:rPr>
                <w:sz w:val="16"/>
                <w:szCs w:val="16"/>
              </w:rPr>
              <w:t xml:space="preserve"> предыдущему году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112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99,2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65,8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104,2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108,3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105,8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100</w:t>
            </w:r>
          </w:p>
        </w:tc>
      </w:tr>
      <w:tr w:rsidR="00013FAE" w:rsidRPr="0010787D" w:rsidTr="00A54D7B">
        <w:trPr>
          <w:gridAfter w:val="1"/>
          <w:wAfter w:w="607" w:type="dxa"/>
          <w:trHeight w:val="6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Общий коэффициент рождаемости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человек на 1000 населения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18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12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12</w:t>
            </w:r>
          </w:p>
        </w:tc>
      </w:tr>
      <w:tr w:rsidR="00013FAE" w:rsidRPr="0010787D" w:rsidTr="00A54D7B">
        <w:trPr>
          <w:gridAfter w:val="1"/>
          <w:wAfter w:w="607" w:type="dxa"/>
          <w:trHeight w:val="30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5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 xml:space="preserve">Количество </w:t>
            </w:r>
            <w:proofErr w:type="gramStart"/>
            <w:r w:rsidRPr="0010787D">
              <w:rPr>
                <w:sz w:val="16"/>
                <w:szCs w:val="16"/>
              </w:rPr>
              <w:t>умерших</w:t>
            </w:r>
            <w:proofErr w:type="gramEnd"/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тыс. человек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0,53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0,52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0,74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0,58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0,54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0,54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0,52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0,5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0,52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0,45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0,52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0,5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0,45</w:t>
            </w:r>
          </w:p>
        </w:tc>
      </w:tr>
      <w:tr w:rsidR="00013FAE" w:rsidRPr="0010787D" w:rsidTr="00A54D7B">
        <w:trPr>
          <w:gridAfter w:val="1"/>
          <w:wAfter w:w="607" w:type="dxa"/>
          <w:trHeight w:val="30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proofErr w:type="gramStart"/>
            <w:r w:rsidRPr="0010787D">
              <w:rPr>
                <w:sz w:val="16"/>
                <w:szCs w:val="16"/>
              </w:rPr>
              <w:t>в</w:t>
            </w:r>
            <w:proofErr w:type="gramEnd"/>
            <w:r w:rsidRPr="0010787D">
              <w:rPr>
                <w:sz w:val="16"/>
                <w:szCs w:val="16"/>
              </w:rPr>
              <w:t xml:space="preserve"> % </w:t>
            </w:r>
            <w:proofErr w:type="gramStart"/>
            <w:r w:rsidRPr="0010787D">
              <w:rPr>
                <w:sz w:val="16"/>
                <w:szCs w:val="16"/>
              </w:rPr>
              <w:t>к</w:t>
            </w:r>
            <w:proofErr w:type="gramEnd"/>
            <w:r w:rsidRPr="0010787D">
              <w:rPr>
                <w:sz w:val="16"/>
                <w:szCs w:val="16"/>
              </w:rPr>
              <w:t xml:space="preserve"> предыдущему году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96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93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78,4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93,1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96,3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92,6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96,3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96,2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100</w:t>
            </w:r>
          </w:p>
        </w:tc>
      </w:tr>
      <w:tr w:rsidR="00013FAE" w:rsidRPr="0010787D" w:rsidTr="00A54D7B">
        <w:trPr>
          <w:gridAfter w:val="1"/>
          <w:wAfter w:w="607" w:type="dxa"/>
          <w:trHeight w:val="6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Общий коэффициент смертности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человек на 1000 населения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13,88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13,8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18,3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13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13</w:t>
            </w:r>
          </w:p>
        </w:tc>
      </w:tr>
      <w:tr w:rsidR="00013FAE" w:rsidRPr="0010787D" w:rsidTr="00A54D7B">
        <w:trPr>
          <w:gridAfter w:val="1"/>
          <w:wAfter w:w="607" w:type="dxa"/>
          <w:trHeight w:val="30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Естественный прирост</w:t>
            </w:r>
            <w:proofErr w:type="gramStart"/>
            <w:r w:rsidRPr="0010787D">
              <w:rPr>
                <w:sz w:val="16"/>
                <w:szCs w:val="16"/>
              </w:rPr>
              <w:t xml:space="preserve"> (+), </w:t>
            </w:r>
            <w:proofErr w:type="gramEnd"/>
            <w:r w:rsidRPr="0010787D">
              <w:rPr>
                <w:sz w:val="16"/>
                <w:szCs w:val="16"/>
              </w:rPr>
              <w:t>убыль (-)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тыс. человек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-0,05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0,04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0,074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-0,098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-0,098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-0,098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-0,098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-0,098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-0,098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-0,098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-0,098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-0,098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-0,098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-0,098</w:t>
            </w:r>
          </w:p>
        </w:tc>
      </w:tr>
      <w:tr w:rsidR="00013FAE" w:rsidRPr="0010787D" w:rsidTr="00A54D7B">
        <w:trPr>
          <w:gridAfter w:val="1"/>
          <w:wAfter w:w="607" w:type="dxa"/>
          <w:trHeight w:val="30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proofErr w:type="gramStart"/>
            <w:r w:rsidRPr="0010787D">
              <w:rPr>
                <w:sz w:val="16"/>
                <w:szCs w:val="16"/>
              </w:rPr>
              <w:t>в</w:t>
            </w:r>
            <w:proofErr w:type="gramEnd"/>
            <w:r w:rsidRPr="0010787D">
              <w:rPr>
                <w:sz w:val="16"/>
                <w:szCs w:val="16"/>
              </w:rPr>
              <w:t xml:space="preserve"> % </w:t>
            </w:r>
            <w:proofErr w:type="gramStart"/>
            <w:r w:rsidRPr="0010787D">
              <w:rPr>
                <w:sz w:val="16"/>
                <w:szCs w:val="16"/>
              </w:rPr>
              <w:t>к</w:t>
            </w:r>
            <w:proofErr w:type="gramEnd"/>
            <w:r w:rsidRPr="0010787D">
              <w:rPr>
                <w:sz w:val="16"/>
                <w:szCs w:val="16"/>
              </w:rPr>
              <w:t xml:space="preserve"> предыдущему году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200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X</w:t>
            </w:r>
          </w:p>
        </w:tc>
      </w:tr>
      <w:tr w:rsidR="00013FAE" w:rsidRPr="0010787D" w:rsidTr="00A54D7B">
        <w:trPr>
          <w:gridAfter w:val="1"/>
          <w:wAfter w:w="607" w:type="dxa"/>
          <w:trHeight w:val="60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Коэффициент естественного прироста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человек на 1000 населения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0,99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1,83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-2,6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1,83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1,83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1,83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1,83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1,83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1,83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1,83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1,83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1,83</w:t>
            </w:r>
          </w:p>
        </w:tc>
      </w:tr>
      <w:tr w:rsidR="00013FAE" w:rsidRPr="0010787D" w:rsidTr="00A54D7B">
        <w:trPr>
          <w:gridAfter w:val="1"/>
          <w:wAfter w:w="607" w:type="dxa"/>
          <w:trHeight w:val="30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9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Миграционный прирост</w:t>
            </w:r>
            <w:proofErr w:type="gramStart"/>
            <w:r w:rsidRPr="0010787D">
              <w:rPr>
                <w:sz w:val="16"/>
                <w:szCs w:val="16"/>
              </w:rPr>
              <w:t xml:space="preserve"> (+), </w:t>
            </w:r>
            <w:proofErr w:type="gramEnd"/>
            <w:r w:rsidRPr="0010787D">
              <w:rPr>
                <w:sz w:val="16"/>
                <w:szCs w:val="16"/>
              </w:rPr>
              <w:t>снижение (-)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тыс. человек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-0,03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0,04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0,074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-0,181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-0,181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-0,181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-0,181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-0,181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-0,181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-0,181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-0,181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-0,181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-0,181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-0,181</w:t>
            </w:r>
          </w:p>
        </w:tc>
      </w:tr>
      <w:tr w:rsidR="00013FAE" w:rsidRPr="0010787D" w:rsidTr="00A54D7B">
        <w:trPr>
          <w:gridAfter w:val="1"/>
          <w:wAfter w:w="607" w:type="dxa"/>
          <w:trHeight w:val="30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proofErr w:type="gramStart"/>
            <w:r w:rsidRPr="0010787D">
              <w:rPr>
                <w:sz w:val="16"/>
                <w:szCs w:val="16"/>
              </w:rPr>
              <w:t>в</w:t>
            </w:r>
            <w:proofErr w:type="gramEnd"/>
            <w:r w:rsidRPr="0010787D">
              <w:rPr>
                <w:sz w:val="16"/>
                <w:szCs w:val="16"/>
              </w:rPr>
              <w:t xml:space="preserve"> % </w:t>
            </w:r>
            <w:proofErr w:type="gramStart"/>
            <w:r w:rsidRPr="0010787D">
              <w:rPr>
                <w:sz w:val="16"/>
                <w:szCs w:val="16"/>
              </w:rPr>
              <w:t>к</w:t>
            </w:r>
            <w:proofErr w:type="gramEnd"/>
            <w:r w:rsidRPr="0010787D">
              <w:rPr>
                <w:sz w:val="16"/>
                <w:szCs w:val="16"/>
              </w:rPr>
              <w:t xml:space="preserve"> предыдущему году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14,29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72,7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X</w:t>
            </w:r>
          </w:p>
        </w:tc>
      </w:tr>
      <w:tr w:rsidR="00013FAE" w:rsidRPr="0010787D" w:rsidTr="00A54D7B">
        <w:trPr>
          <w:gridAfter w:val="1"/>
          <w:wAfter w:w="607" w:type="dxa"/>
          <w:trHeight w:val="6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Коэффициент миграционного прироста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человек на  1000 населения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-0,74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0,99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1,83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X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X</w:t>
            </w:r>
          </w:p>
        </w:tc>
      </w:tr>
      <w:tr w:rsidR="00013FAE" w:rsidRPr="0010787D" w:rsidTr="00907F6C">
        <w:trPr>
          <w:gridAfter w:val="1"/>
          <w:wAfter w:w="607" w:type="dxa"/>
          <w:trHeight w:val="300"/>
        </w:trPr>
        <w:tc>
          <w:tcPr>
            <w:tcW w:w="1587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AE" w:rsidRPr="00013FAE" w:rsidRDefault="00013FAE" w:rsidP="00013FAE">
            <w:pPr>
              <w:jc w:val="center"/>
            </w:pPr>
            <w:r w:rsidRPr="00013FAE">
              <w:rPr>
                <w:b/>
                <w:bCs/>
              </w:rPr>
              <w:t>2. Труд и занятость</w:t>
            </w:r>
            <w:r w:rsidRPr="00013FAE">
              <w:t> </w:t>
            </w:r>
          </w:p>
        </w:tc>
      </w:tr>
      <w:tr w:rsidR="00013FAE" w:rsidRPr="0010787D" w:rsidTr="00A54D7B">
        <w:trPr>
          <w:gridAfter w:val="1"/>
          <w:wAfter w:w="607" w:type="dxa"/>
          <w:trHeight w:val="30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11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Среднесписочная численность работников (без внешних совместителей) по полному кругу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-</w:t>
            </w:r>
          </w:p>
        </w:tc>
      </w:tr>
      <w:tr w:rsidR="00013FAE" w:rsidRPr="0010787D" w:rsidTr="00A54D7B">
        <w:trPr>
          <w:gridAfter w:val="1"/>
          <w:wAfter w:w="607" w:type="dxa"/>
          <w:trHeight w:val="30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proofErr w:type="gramStart"/>
            <w:r w:rsidRPr="0010787D">
              <w:rPr>
                <w:sz w:val="16"/>
                <w:szCs w:val="16"/>
              </w:rPr>
              <w:t>в</w:t>
            </w:r>
            <w:proofErr w:type="gramEnd"/>
            <w:r w:rsidRPr="0010787D">
              <w:rPr>
                <w:sz w:val="16"/>
                <w:szCs w:val="16"/>
              </w:rPr>
              <w:t xml:space="preserve"> % </w:t>
            </w:r>
            <w:proofErr w:type="gramStart"/>
            <w:r w:rsidRPr="0010787D">
              <w:rPr>
                <w:sz w:val="16"/>
                <w:szCs w:val="16"/>
              </w:rPr>
              <w:t>к</w:t>
            </w:r>
            <w:proofErr w:type="gramEnd"/>
            <w:r w:rsidRPr="0010787D">
              <w:rPr>
                <w:sz w:val="16"/>
                <w:szCs w:val="16"/>
              </w:rPr>
              <w:t xml:space="preserve"> предыдущему году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-</w:t>
            </w:r>
          </w:p>
        </w:tc>
      </w:tr>
      <w:tr w:rsidR="00013FAE" w:rsidRPr="0010787D" w:rsidTr="00A54D7B">
        <w:trPr>
          <w:gridAfter w:val="1"/>
          <w:wAfter w:w="607" w:type="dxa"/>
          <w:trHeight w:val="6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12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Среднесписочная численность работников градообразующей организации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1604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1514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1570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1631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1640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1640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1640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1680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1680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1700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1680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1680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1700</w:t>
            </w:r>
          </w:p>
        </w:tc>
      </w:tr>
      <w:tr w:rsidR="00013FAE" w:rsidRPr="0010787D" w:rsidTr="00A54D7B">
        <w:trPr>
          <w:gridAfter w:val="1"/>
          <w:wAfter w:w="607" w:type="dxa"/>
          <w:trHeight w:val="6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color w:val="000000"/>
                <w:sz w:val="16"/>
                <w:szCs w:val="16"/>
              </w:rPr>
            </w:pPr>
            <w:r w:rsidRPr="0010787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color w:val="000000"/>
                <w:sz w:val="16"/>
                <w:szCs w:val="16"/>
              </w:rPr>
            </w:pPr>
            <w:r w:rsidRPr="0010787D">
              <w:rPr>
                <w:color w:val="000000"/>
                <w:sz w:val="16"/>
                <w:szCs w:val="16"/>
              </w:rPr>
              <w:t>Численность работников, предполагаемых к увольнению  с градообразующего предприятия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-</w:t>
            </w:r>
          </w:p>
        </w:tc>
      </w:tr>
      <w:tr w:rsidR="00013FAE" w:rsidRPr="0010787D" w:rsidTr="00A54D7B">
        <w:trPr>
          <w:gridAfter w:val="1"/>
          <w:wAfter w:w="607" w:type="dxa"/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 xml:space="preserve">Численность </w:t>
            </w:r>
            <w:proofErr w:type="gramStart"/>
            <w:r w:rsidRPr="0010787D">
              <w:rPr>
                <w:sz w:val="16"/>
                <w:szCs w:val="16"/>
              </w:rPr>
              <w:t>занятых</w:t>
            </w:r>
            <w:proofErr w:type="gramEnd"/>
            <w:r w:rsidRPr="0010787D">
              <w:rPr>
                <w:sz w:val="16"/>
                <w:szCs w:val="16"/>
              </w:rPr>
              <w:t xml:space="preserve"> в экономике (среднегодовая) – всего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 xml:space="preserve"> человек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16100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16100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14555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14504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14504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14504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14620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14620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14650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14600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14620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14650</w:t>
            </w:r>
          </w:p>
        </w:tc>
      </w:tr>
      <w:tr w:rsidR="00013FAE" w:rsidRPr="0010787D" w:rsidTr="00A54D7B">
        <w:trPr>
          <w:gridAfter w:val="1"/>
          <w:wAfter w:w="607" w:type="dxa"/>
          <w:trHeight w:val="6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15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 xml:space="preserve">Доля занятых в экономике в общей численности трудовых ресурсов 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55,18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55,02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59,41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63,54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57,46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56,5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57,36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56,88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56,16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57,38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56,82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63,8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59,9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59,16</w:t>
            </w:r>
          </w:p>
        </w:tc>
      </w:tr>
      <w:tr w:rsidR="00013FAE" w:rsidRPr="0010787D" w:rsidTr="00A54D7B">
        <w:trPr>
          <w:gridAfter w:val="1"/>
          <w:wAfter w:w="607" w:type="dxa"/>
          <w:trHeight w:val="36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16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 xml:space="preserve">Численность </w:t>
            </w:r>
            <w:proofErr w:type="gramStart"/>
            <w:r w:rsidRPr="0010787D">
              <w:rPr>
                <w:sz w:val="16"/>
                <w:szCs w:val="16"/>
              </w:rPr>
              <w:t>незанятых</w:t>
            </w:r>
            <w:proofErr w:type="gramEnd"/>
            <w:r w:rsidRPr="0010787D">
              <w:rPr>
                <w:sz w:val="16"/>
                <w:szCs w:val="16"/>
              </w:rPr>
              <w:t xml:space="preserve"> в экономике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 xml:space="preserve">человек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-</w:t>
            </w:r>
          </w:p>
        </w:tc>
      </w:tr>
      <w:tr w:rsidR="00013FAE" w:rsidRPr="0010787D" w:rsidTr="00A54D7B">
        <w:trPr>
          <w:gridAfter w:val="1"/>
          <w:wAfter w:w="607" w:type="dxa"/>
          <w:trHeight w:val="36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17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Численность населения в трудоспособном возрасте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23357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23357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22827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22827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22827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22827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23169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23284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22827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23517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23750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22827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23870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24225</w:t>
            </w:r>
          </w:p>
        </w:tc>
      </w:tr>
      <w:tr w:rsidR="00013FAE" w:rsidRPr="0010787D" w:rsidTr="00A54D7B">
        <w:trPr>
          <w:gridAfter w:val="1"/>
          <w:wAfter w:w="607" w:type="dxa"/>
          <w:trHeight w:val="90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Уровень занятости населения (отношение занятого населения к численности  населения в трудоспособном возрасте)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68,9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68,9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63,76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63,5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63,5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63,7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62,4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60,7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63,8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59,9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59,2</w:t>
            </w:r>
          </w:p>
        </w:tc>
      </w:tr>
      <w:tr w:rsidR="00013FAE" w:rsidRPr="0010787D" w:rsidTr="00A54D7B">
        <w:trPr>
          <w:gridAfter w:val="1"/>
          <w:wAfter w:w="607" w:type="dxa"/>
          <w:trHeight w:val="79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Экономически активное население (считается  возраст от 15 до 72 лет)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14782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14603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14603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14586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14600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14600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14620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14892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14732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15101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15235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14953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15418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15692</w:t>
            </w:r>
          </w:p>
        </w:tc>
      </w:tr>
      <w:tr w:rsidR="00013FAE" w:rsidRPr="0010787D" w:rsidTr="00A54D7B">
        <w:trPr>
          <w:gridAfter w:val="1"/>
          <w:wAfter w:w="607" w:type="dxa"/>
          <w:trHeight w:val="39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 xml:space="preserve">Общая численность безработных 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2091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2547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-</w:t>
            </w:r>
          </w:p>
        </w:tc>
      </w:tr>
      <w:tr w:rsidR="00013FAE" w:rsidRPr="0010787D" w:rsidTr="00A54D7B">
        <w:trPr>
          <w:gridAfter w:val="1"/>
          <w:wAfter w:w="607" w:type="dxa"/>
          <w:trHeight w:val="6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21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Численность безработных, зарегистрированных в органах государственной службы занятости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697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849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775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663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553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553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500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549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547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546</w:t>
            </w:r>
          </w:p>
        </w:tc>
      </w:tr>
      <w:tr w:rsidR="00013FAE" w:rsidRPr="0010787D" w:rsidTr="00A54D7B">
        <w:trPr>
          <w:gridAfter w:val="1"/>
          <w:wAfter w:w="607" w:type="dxa"/>
          <w:trHeight w:val="900"/>
        </w:trPr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22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Уровень общей безработицы (отношение общей численности безработных к экономически активному населению)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8,4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-</w:t>
            </w:r>
          </w:p>
        </w:tc>
      </w:tr>
      <w:tr w:rsidR="00013FAE" w:rsidRPr="0010787D" w:rsidTr="00A54D7B">
        <w:trPr>
          <w:gridAfter w:val="1"/>
          <w:wAfter w:w="607" w:type="dxa"/>
          <w:trHeight w:val="90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23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Уровень зарегистрированной безработицы (общее количество зарегистрированных безработных к экономически активному населению)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2,8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3,3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2,3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2,2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2,1</w:t>
            </w:r>
          </w:p>
        </w:tc>
      </w:tr>
      <w:tr w:rsidR="00013FAE" w:rsidRPr="0010787D" w:rsidTr="00A54D7B">
        <w:trPr>
          <w:gridAfter w:val="1"/>
          <w:wAfter w:w="607" w:type="dxa"/>
          <w:trHeight w:val="120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Доля численности работников, занятых на малых и средних предприятиях (включая индивидуальных предпринимателей) в общей численности трудоспособного населения на территории муниципального образования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60,7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60,7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60,5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60,5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60,50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61,00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61,50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61,50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62,00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60,50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60,50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60,50</w:t>
            </w:r>
          </w:p>
        </w:tc>
      </w:tr>
      <w:tr w:rsidR="00013FAE" w:rsidRPr="0010787D" w:rsidTr="00A54D7B">
        <w:trPr>
          <w:gridAfter w:val="1"/>
          <w:wAfter w:w="607" w:type="dxa"/>
          <w:trHeight w:val="690"/>
        </w:trPr>
        <w:tc>
          <w:tcPr>
            <w:tcW w:w="1587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AE" w:rsidRPr="00013FAE" w:rsidRDefault="00013FAE" w:rsidP="00013FAE">
            <w:pPr>
              <w:jc w:val="center"/>
            </w:pPr>
            <w:r w:rsidRPr="00013FAE">
              <w:rPr>
                <w:b/>
                <w:bCs/>
              </w:rPr>
              <w:t xml:space="preserve">3. Малое и среднее предпринимательство, включая </w:t>
            </w:r>
            <w:proofErr w:type="spellStart"/>
            <w:r w:rsidRPr="00013FAE">
              <w:rPr>
                <w:b/>
                <w:bCs/>
              </w:rPr>
              <w:t>микропредприятия</w:t>
            </w:r>
            <w:proofErr w:type="spellEnd"/>
          </w:p>
        </w:tc>
      </w:tr>
      <w:tr w:rsidR="00013FAE" w:rsidRPr="0010787D" w:rsidTr="00A54D7B">
        <w:trPr>
          <w:gridAfter w:val="1"/>
          <w:wAfter w:w="607" w:type="dxa"/>
          <w:trHeight w:val="9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25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 xml:space="preserve">Количество малых и средних предприятий, включая </w:t>
            </w:r>
            <w:proofErr w:type="spellStart"/>
            <w:r w:rsidRPr="0010787D">
              <w:rPr>
                <w:sz w:val="16"/>
                <w:szCs w:val="16"/>
              </w:rPr>
              <w:t>микропредприятия</w:t>
            </w:r>
            <w:proofErr w:type="spellEnd"/>
            <w:r w:rsidRPr="0010787D">
              <w:rPr>
                <w:sz w:val="16"/>
                <w:szCs w:val="16"/>
              </w:rPr>
              <w:t xml:space="preserve"> (на конец года)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9355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8884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8858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8647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8448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8279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8330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8499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8155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8255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8653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8082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8222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9050</w:t>
            </w:r>
          </w:p>
        </w:tc>
      </w:tr>
      <w:tr w:rsidR="00013FAE" w:rsidRPr="0010787D" w:rsidTr="00A54D7B">
        <w:trPr>
          <w:gridAfter w:val="1"/>
          <w:wAfter w:w="607" w:type="dxa"/>
          <w:trHeight w:val="9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26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 xml:space="preserve">Среднесписочная численность работников малых и средних предприятий, включая </w:t>
            </w:r>
            <w:proofErr w:type="spellStart"/>
            <w:r w:rsidRPr="0010787D">
              <w:rPr>
                <w:sz w:val="16"/>
                <w:szCs w:val="16"/>
              </w:rPr>
              <w:t>микропредприятия</w:t>
            </w:r>
            <w:proofErr w:type="spellEnd"/>
            <w:r w:rsidRPr="0010787D">
              <w:rPr>
                <w:sz w:val="16"/>
                <w:szCs w:val="16"/>
              </w:rPr>
              <w:t xml:space="preserve"> (без внешних совместителей)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8203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7946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7828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7687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7533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7465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7503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7584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7503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7738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7443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7503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8135</w:t>
            </w:r>
          </w:p>
        </w:tc>
      </w:tr>
      <w:tr w:rsidR="00013FAE" w:rsidRPr="0010787D" w:rsidTr="00A54D7B">
        <w:trPr>
          <w:gridAfter w:val="1"/>
          <w:wAfter w:w="607" w:type="dxa"/>
          <w:trHeight w:val="43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27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 xml:space="preserve">Оборот малых и средних предприятий, включая </w:t>
            </w:r>
            <w:proofErr w:type="spellStart"/>
            <w:r w:rsidRPr="0010787D">
              <w:rPr>
                <w:sz w:val="16"/>
                <w:szCs w:val="16"/>
              </w:rPr>
              <w:t>микропредприятия</w:t>
            </w:r>
            <w:proofErr w:type="spellEnd"/>
            <w:r w:rsidRPr="0010787D">
              <w:rPr>
                <w:sz w:val="16"/>
                <w:szCs w:val="16"/>
              </w:rPr>
              <w:t xml:space="preserve"> на территории муниципального образования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тыс. руб.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*</w:t>
            </w:r>
          </w:p>
        </w:tc>
      </w:tr>
      <w:tr w:rsidR="00013FAE" w:rsidRPr="0010787D" w:rsidTr="00A54D7B">
        <w:trPr>
          <w:gridAfter w:val="1"/>
          <w:wAfter w:w="607" w:type="dxa"/>
          <w:trHeight w:val="73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proofErr w:type="gramStart"/>
            <w:r w:rsidRPr="0010787D">
              <w:rPr>
                <w:sz w:val="16"/>
                <w:szCs w:val="16"/>
              </w:rPr>
              <w:t>в</w:t>
            </w:r>
            <w:proofErr w:type="gramEnd"/>
            <w:r w:rsidRPr="0010787D">
              <w:rPr>
                <w:sz w:val="16"/>
                <w:szCs w:val="16"/>
              </w:rPr>
              <w:t xml:space="preserve"> % </w:t>
            </w:r>
            <w:proofErr w:type="gramStart"/>
            <w:r w:rsidRPr="0010787D">
              <w:rPr>
                <w:sz w:val="16"/>
                <w:szCs w:val="16"/>
              </w:rPr>
              <w:t>к</w:t>
            </w:r>
            <w:proofErr w:type="gramEnd"/>
            <w:r w:rsidRPr="0010787D">
              <w:rPr>
                <w:sz w:val="16"/>
                <w:szCs w:val="16"/>
              </w:rPr>
              <w:t xml:space="preserve"> предыдущему году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X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*</w:t>
            </w:r>
          </w:p>
        </w:tc>
      </w:tr>
      <w:tr w:rsidR="00013FAE" w:rsidRPr="0010787D" w:rsidTr="00907F6C">
        <w:trPr>
          <w:gridAfter w:val="1"/>
          <w:wAfter w:w="607" w:type="dxa"/>
          <w:trHeight w:val="600"/>
        </w:trPr>
        <w:tc>
          <w:tcPr>
            <w:tcW w:w="1587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FAE" w:rsidRPr="00013FAE" w:rsidRDefault="00013FAE" w:rsidP="00013FAE">
            <w:pPr>
              <w:jc w:val="center"/>
              <w:rPr>
                <w:sz w:val="16"/>
                <w:szCs w:val="16"/>
              </w:rPr>
            </w:pPr>
            <w:r w:rsidRPr="00013FAE">
              <w:rPr>
                <w:b/>
                <w:bCs/>
                <w:color w:val="000000"/>
              </w:rPr>
              <w:t>4. Денежные доходы и расходы населения</w:t>
            </w:r>
            <w:r w:rsidRPr="00013FAE">
              <w:rPr>
                <w:sz w:val="16"/>
                <w:szCs w:val="16"/>
              </w:rPr>
              <w:t> </w:t>
            </w:r>
          </w:p>
        </w:tc>
      </w:tr>
      <w:tr w:rsidR="00013FAE" w:rsidRPr="0010787D" w:rsidTr="00A54D7B">
        <w:trPr>
          <w:gridAfter w:val="1"/>
          <w:wAfter w:w="607" w:type="dxa"/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28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Доходы - всего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тыс. 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*</w:t>
            </w:r>
          </w:p>
        </w:tc>
      </w:tr>
      <w:tr w:rsidR="00A54D7B" w:rsidRPr="0010787D" w:rsidTr="00A54D7B">
        <w:trPr>
          <w:gridAfter w:val="1"/>
          <w:wAfter w:w="607" w:type="dxa"/>
          <w:trHeight w:val="30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 xml:space="preserve">Реальные </w:t>
            </w:r>
            <w:r w:rsidRPr="0010787D">
              <w:rPr>
                <w:sz w:val="16"/>
                <w:szCs w:val="16"/>
              </w:rPr>
              <w:lastRenderedPageBreak/>
              <w:t>располагаемые денежные доходы населения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lastRenderedPageBreak/>
              <w:t xml:space="preserve">% к </w:t>
            </w:r>
            <w:r w:rsidRPr="0010787D">
              <w:rPr>
                <w:sz w:val="16"/>
                <w:szCs w:val="16"/>
              </w:rPr>
              <w:lastRenderedPageBreak/>
              <w:t>предыдущему году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lastRenderedPageBreak/>
              <w:t>114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-</w:t>
            </w:r>
          </w:p>
        </w:tc>
      </w:tr>
      <w:tr w:rsidR="00013FAE" w:rsidRPr="0010787D" w:rsidTr="00A54D7B">
        <w:trPr>
          <w:gridAfter w:val="1"/>
          <w:wAfter w:w="607" w:type="dxa"/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lastRenderedPageBreak/>
              <w:t>30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Денежные доходы в расчете на душу населения в месяц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рублей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*</w:t>
            </w:r>
          </w:p>
        </w:tc>
      </w:tr>
      <w:tr w:rsidR="00013FAE" w:rsidRPr="0010787D" w:rsidTr="00A54D7B">
        <w:trPr>
          <w:gridAfter w:val="1"/>
          <w:wAfter w:w="607" w:type="dxa"/>
          <w:trHeight w:val="30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31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Фонд начисленной заработной платы всех работников (по полному кругу)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тыс. 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1961200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2072275,2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2440234,9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2302285,4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2461731,9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2629129,7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2629129,7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2634053,1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2765844,4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2768473,6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2792096,3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2917965,8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2915202,7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2976374,7</w:t>
            </w:r>
          </w:p>
        </w:tc>
      </w:tr>
      <w:tr w:rsidR="00013FAE" w:rsidRPr="0010787D" w:rsidTr="00A54D7B">
        <w:trPr>
          <w:gridAfter w:val="1"/>
          <w:wAfter w:w="607" w:type="dxa"/>
          <w:trHeight w:val="30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proofErr w:type="gramStart"/>
            <w:r w:rsidRPr="0010787D">
              <w:rPr>
                <w:sz w:val="16"/>
                <w:szCs w:val="16"/>
              </w:rPr>
              <w:t>в</w:t>
            </w:r>
            <w:proofErr w:type="gramEnd"/>
            <w:r w:rsidRPr="0010787D">
              <w:rPr>
                <w:sz w:val="16"/>
                <w:szCs w:val="16"/>
              </w:rPr>
              <w:t xml:space="preserve"> % </w:t>
            </w:r>
            <w:proofErr w:type="gramStart"/>
            <w:r w:rsidRPr="0010787D">
              <w:rPr>
                <w:sz w:val="16"/>
                <w:szCs w:val="16"/>
              </w:rPr>
              <w:t>к</w:t>
            </w:r>
            <w:proofErr w:type="gramEnd"/>
            <w:r w:rsidRPr="0010787D">
              <w:rPr>
                <w:sz w:val="16"/>
                <w:szCs w:val="16"/>
              </w:rPr>
              <w:t xml:space="preserve"> предыдущему году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106,42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105,7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117,76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105,99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106,9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106,8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106,8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107,0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105,3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105,5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105,3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106,6</w:t>
            </w:r>
          </w:p>
        </w:tc>
      </w:tr>
      <w:tr w:rsidR="00013FAE" w:rsidRPr="0010787D" w:rsidTr="00A54D7B">
        <w:trPr>
          <w:gridAfter w:val="1"/>
          <w:wAfter w:w="607" w:type="dxa"/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32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Расходы и сбережения - всего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тыс. 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*</w:t>
            </w:r>
          </w:p>
        </w:tc>
      </w:tr>
      <w:tr w:rsidR="00013FAE" w:rsidRPr="0010787D" w:rsidTr="00A54D7B">
        <w:trPr>
          <w:gridAfter w:val="1"/>
          <w:wAfter w:w="607" w:type="dxa"/>
          <w:trHeight w:val="6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Превышение доходов над расходами</w:t>
            </w:r>
            <w:proofErr w:type="gramStart"/>
            <w:r w:rsidRPr="0010787D">
              <w:rPr>
                <w:sz w:val="16"/>
                <w:szCs w:val="16"/>
              </w:rPr>
              <w:t xml:space="preserve">  (+),  </w:t>
            </w:r>
            <w:proofErr w:type="gramEnd"/>
            <w:r w:rsidRPr="0010787D">
              <w:rPr>
                <w:sz w:val="16"/>
                <w:szCs w:val="16"/>
              </w:rPr>
              <w:t>или расходов над доходами (-)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тыс. 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*</w:t>
            </w:r>
          </w:p>
        </w:tc>
      </w:tr>
      <w:tr w:rsidR="00013FAE" w:rsidRPr="0010787D" w:rsidTr="00A54D7B">
        <w:trPr>
          <w:gridAfter w:val="1"/>
          <w:wAfter w:w="607" w:type="dxa"/>
          <w:trHeight w:val="6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34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Величина прожиточного минимума в среднем на душу населения в месяц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8646,00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8315,00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8903,00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9310,00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9645,20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10281,70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10040,60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9799,50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10713,60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10361,90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10010,20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11174,30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10724,60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10274,90</w:t>
            </w:r>
          </w:p>
        </w:tc>
      </w:tr>
      <w:tr w:rsidR="00013FAE" w:rsidRPr="0010787D" w:rsidTr="00A54D7B">
        <w:trPr>
          <w:gridAfter w:val="1"/>
          <w:wAfter w:w="607" w:type="dxa"/>
          <w:trHeight w:val="6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35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Численность населения с  денежными доходами  ниже величины прожиточного минимума (по полному кругу)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proofErr w:type="gramStart"/>
            <w:r w:rsidRPr="0010787D">
              <w:rPr>
                <w:sz w:val="16"/>
                <w:szCs w:val="16"/>
              </w:rPr>
              <w:t>в</w:t>
            </w:r>
            <w:proofErr w:type="gramEnd"/>
            <w:r w:rsidRPr="0010787D">
              <w:rPr>
                <w:sz w:val="16"/>
                <w:szCs w:val="16"/>
              </w:rPr>
              <w:t xml:space="preserve"> % ко всему населению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-</w:t>
            </w:r>
          </w:p>
        </w:tc>
      </w:tr>
      <w:tr w:rsidR="00013FAE" w:rsidRPr="0010787D" w:rsidTr="00A54D7B">
        <w:trPr>
          <w:gridAfter w:val="1"/>
          <w:wAfter w:w="607" w:type="dxa"/>
          <w:trHeight w:val="39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36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Среднемесячная заработная плата одного работника по крупным и средним предприятиям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20568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22058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24121,5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25560,5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30121,8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31627,89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32079,72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32380,94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33272,54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34004,5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34971,42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35002,71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36044,77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37769,13</w:t>
            </w:r>
          </w:p>
        </w:tc>
      </w:tr>
      <w:tr w:rsidR="00013FAE" w:rsidRPr="0010787D" w:rsidTr="00A54D7B">
        <w:trPr>
          <w:gridAfter w:val="1"/>
          <w:wAfter w:w="607" w:type="dxa"/>
          <w:trHeight w:val="30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proofErr w:type="gramStart"/>
            <w:r w:rsidRPr="0010787D">
              <w:rPr>
                <w:sz w:val="16"/>
                <w:szCs w:val="16"/>
              </w:rPr>
              <w:t>в</w:t>
            </w:r>
            <w:proofErr w:type="gramEnd"/>
            <w:r w:rsidRPr="0010787D">
              <w:rPr>
                <w:sz w:val="16"/>
                <w:szCs w:val="16"/>
              </w:rPr>
              <w:t xml:space="preserve"> % </w:t>
            </w:r>
            <w:proofErr w:type="gramStart"/>
            <w:r w:rsidRPr="0010787D">
              <w:rPr>
                <w:sz w:val="16"/>
                <w:szCs w:val="16"/>
              </w:rPr>
              <w:t>к</w:t>
            </w:r>
            <w:proofErr w:type="gramEnd"/>
            <w:r w:rsidRPr="0010787D">
              <w:rPr>
                <w:sz w:val="16"/>
                <w:szCs w:val="16"/>
              </w:rPr>
              <w:t xml:space="preserve"> предыдущему году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109,9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107,24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109,0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106,0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117,8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106,5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107,5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106,0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105,2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106,0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108,0</w:t>
            </w:r>
          </w:p>
        </w:tc>
      </w:tr>
      <w:tr w:rsidR="00013FAE" w:rsidRPr="0010787D" w:rsidTr="00A54D7B">
        <w:trPr>
          <w:gridAfter w:val="1"/>
          <w:wAfter w:w="607" w:type="dxa"/>
          <w:trHeight w:val="615"/>
        </w:trPr>
        <w:tc>
          <w:tcPr>
            <w:tcW w:w="1587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AE" w:rsidRPr="00013FAE" w:rsidRDefault="00013FAE" w:rsidP="00013FAE">
            <w:pPr>
              <w:jc w:val="center"/>
            </w:pPr>
            <w:r w:rsidRPr="00013FAE">
              <w:rPr>
                <w:b/>
                <w:bCs/>
              </w:rPr>
              <w:t>5. Потребительский рынок</w:t>
            </w:r>
            <w:r w:rsidRPr="00013FAE">
              <w:t> </w:t>
            </w:r>
          </w:p>
        </w:tc>
      </w:tr>
      <w:tr w:rsidR="00013FAE" w:rsidRPr="0010787D" w:rsidTr="00A54D7B">
        <w:trPr>
          <w:gridAfter w:val="1"/>
          <w:wAfter w:w="607" w:type="dxa"/>
          <w:trHeight w:val="37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37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 xml:space="preserve">Оборот розничной </w:t>
            </w:r>
            <w:r w:rsidRPr="0010787D">
              <w:rPr>
                <w:sz w:val="16"/>
                <w:szCs w:val="16"/>
              </w:rPr>
              <w:lastRenderedPageBreak/>
              <w:t xml:space="preserve">торговли 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lastRenderedPageBreak/>
              <w:t>млн. рублей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1805,8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2575,8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2414,3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2693,5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2750,4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2775,2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2821,9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2783,9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2819,6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2892,5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2867,4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2870,4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2961,9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2962,02</w:t>
            </w:r>
          </w:p>
        </w:tc>
      </w:tr>
      <w:tr w:rsidR="00013FAE" w:rsidRPr="0010787D" w:rsidTr="00A54D7B">
        <w:trPr>
          <w:gridAfter w:val="1"/>
          <w:wAfter w:w="607" w:type="dxa"/>
          <w:trHeight w:val="61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proofErr w:type="gramStart"/>
            <w:r w:rsidRPr="0010787D">
              <w:rPr>
                <w:sz w:val="16"/>
                <w:szCs w:val="16"/>
              </w:rPr>
              <w:t>в</w:t>
            </w:r>
            <w:proofErr w:type="gramEnd"/>
            <w:r w:rsidRPr="0010787D">
              <w:rPr>
                <w:sz w:val="16"/>
                <w:szCs w:val="16"/>
              </w:rPr>
              <w:t xml:space="preserve"> % </w:t>
            </w:r>
            <w:proofErr w:type="gramStart"/>
            <w:r w:rsidRPr="0010787D">
              <w:rPr>
                <w:sz w:val="16"/>
                <w:szCs w:val="16"/>
              </w:rPr>
              <w:t>к</w:t>
            </w:r>
            <w:proofErr w:type="gramEnd"/>
            <w:r w:rsidRPr="0010787D">
              <w:rPr>
                <w:sz w:val="16"/>
                <w:szCs w:val="16"/>
              </w:rPr>
              <w:t xml:space="preserve"> предыдущему году в сопоставимых ценах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131,1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142,64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93,73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107,4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102,11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102,6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102,9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102,5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101,8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102,4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103,3</w:t>
            </w:r>
          </w:p>
        </w:tc>
      </w:tr>
      <w:tr w:rsidR="00013FAE" w:rsidRPr="0010787D" w:rsidTr="00A54D7B">
        <w:trPr>
          <w:gridAfter w:val="1"/>
          <w:wAfter w:w="607" w:type="dxa"/>
          <w:trHeight w:val="37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Индекс-дефлятор товарооборота к предыдущему году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*</w:t>
            </w:r>
          </w:p>
        </w:tc>
      </w:tr>
      <w:tr w:rsidR="00013FAE" w:rsidRPr="0010787D" w:rsidTr="00A54D7B">
        <w:trPr>
          <w:gridAfter w:val="1"/>
          <w:wAfter w:w="607" w:type="dxa"/>
          <w:trHeight w:val="37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39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Индекс потребительских цен (к декабрю предыдущего года)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113,5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117,1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108,0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102,7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102,3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102,3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102,3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102,3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102,3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102,3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102,3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102,3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102,3</w:t>
            </w:r>
          </w:p>
        </w:tc>
      </w:tr>
      <w:tr w:rsidR="00013FAE" w:rsidRPr="0010787D" w:rsidTr="00A54D7B">
        <w:trPr>
          <w:gridAfter w:val="1"/>
          <w:wAfter w:w="607" w:type="dxa"/>
          <w:trHeight w:val="37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40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Оборот общественного питания по крупным и средним предприятиям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8,84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10,39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11,28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11,72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12,19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12,56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12,25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12,8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12,94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12,8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13,44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13,33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13,38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14,11</w:t>
            </w:r>
          </w:p>
        </w:tc>
      </w:tr>
      <w:tr w:rsidR="00013FAE" w:rsidRPr="0010787D" w:rsidTr="00A54D7B">
        <w:trPr>
          <w:gridAfter w:val="1"/>
          <w:wAfter w:w="607" w:type="dxa"/>
          <w:trHeight w:val="6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proofErr w:type="gramStart"/>
            <w:r w:rsidRPr="0010787D">
              <w:rPr>
                <w:sz w:val="16"/>
                <w:szCs w:val="16"/>
              </w:rPr>
              <w:t>в</w:t>
            </w:r>
            <w:proofErr w:type="gramEnd"/>
            <w:r w:rsidRPr="0010787D">
              <w:rPr>
                <w:sz w:val="16"/>
                <w:szCs w:val="16"/>
              </w:rPr>
              <w:t xml:space="preserve"> % </w:t>
            </w:r>
            <w:proofErr w:type="gramStart"/>
            <w:r w:rsidRPr="0010787D">
              <w:rPr>
                <w:sz w:val="16"/>
                <w:szCs w:val="16"/>
              </w:rPr>
              <w:t>к</w:t>
            </w:r>
            <w:proofErr w:type="gramEnd"/>
            <w:r w:rsidRPr="0010787D">
              <w:rPr>
                <w:sz w:val="16"/>
                <w:szCs w:val="16"/>
              </w:rPr>
              <w:t xml:space="preserve"> предыдущему году в сопоставимых ценах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101,6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117,5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108,6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103,9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104,0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104,5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105,0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104,5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103,0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104,5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105,0</w:t>
            </w:r>
          </w:p>
        </w:tc>
      </w:tr>
      <w:tr w:rsidR="00013FAE" w:rsidRPr="0010787D" w:rsidTr="00A54D7B">
        <w:trPr>
          <w:gridAfter w:val="1"/>
          <w:wAfter w:w="607" w:type="dxa"/>
          <w:trHeight w:val="333"/>
        </w:trPr>
        <w:tc>
          <w:tcPr>
            <w:tcW w:w="1587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AE" w:rsidRPr="00013FAE" w:rsidRDefault="00013FAE" w:rsidP="00013FAE">
            <w:pPr>
              <w:jc w:val="center"/>
            </w:pPr>
            <w:r w:rsidRPr="00013FAE">
              <w:rPr>
                <w:b/>
                <w:bCs/>
              </w:rPr>
              <w:t>6. Промышленность</w:t>
            </w:r>
            <w:r w:rsidRPr="00013FAE">
              <w:t> </w:t>
            </w:r>
          </w:p>
        </w:tc>
      </w:tr>
      <w:tr w:rsidR="00013FAE" w:rsidRPr="0010787D" w:rsidTr="00A54D7B">
        <w:trPr>
          <w:gridAfter w:val="1"/>
          <w:wAfter w:w="607" w:type="dxa"/>
          <w:trHeight w:val="48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41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 xml:space="preserve">Объем отгруженных товаров собственного производства, выполненных работ и услуг собственными силами, по видам деятельности, относящимся к промышленному производству 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7842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7575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6834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6730,2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6790,77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7082,77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7171,05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7191,43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7226,55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7364,67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8862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7392,76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7556,15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13939,93</w:t>
            </w:r>
          </w:p>
        </w:tc>
      </w:tr>
      <w:tr w:rsidR="00013FAE" w:rsidRPr="0010787D" w:rsidTr="00A54D7B">
        <w:trPr>
          <w:gridAfter w:val="1"/>
          <w:wAfter w:w="607" w:type="dxa"/>
          <w:trHeight w:val="6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proofErr w:type="gramStart"/>
            <w:r w:rsidRPr="0010787D">
              <w:rPr>
                <w:sz w:val="16"/>
                <w:szCs w:val="16"/>
              </w:rPr>
              <w:t>в</w:t>
            </w:r>
            <w:proofErr w:type="gramEnd"/>
            <w:r w:rsidRPr="0010787D">
              <w:rPr>
                <w:sz w:val="16"/>
                <w:szCs w:val="16"/>
              </w:rPr>
              <w:t xml:space="preserve"> % </w:t>
            </w:r>
            <w:proofErr w:type="gramStart"/>
            <w:r w:rsidRPr="0010787D">
              <w:rPr>
                <w:sz w:val="16"/>
                <w:szCs w:val="16"/>
              </w:rPr>
              <w:t>к</w:t>
            </w:r>
            <w:proofErr w:type="gramEnd"/>
            <w:r w:rsidRPr="0010787D">
              <w:rPr>
                <w:sz w:val="16"/>
                <w:szCs w:val="16"/>
              </w:rPr>
              <w:t xml:space="preserve"> предыдущему году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104,7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96,6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90,2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98,5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104,3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105,6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105,9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102,03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102,7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123,23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102,3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102,6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157,3</w:t>
            </w:r>
          </w:p>
        </w:tc>
      </w:tr>
      <w:tr w:rsidR="00013FAE" w:rsidRPr="0010787D" w:rsidTr="00A54D7B">
        <w:trPr>
          <w:gridAfter w:val="1"/>
          <w:wAfter w:w="607" w:type="dxa"/>
          <w:trHeight w:val="40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i/>
                <w:iCs/>
                <w:sz w:val="16"/>
                <w:szCs w:val="16"/>
              </w:rPr>
            </w:pPr>
            <w:r w:rsidRPr="0010787D">
              <w:rPr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 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 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 </w:t>
            </w:r>
          </w:p>
        </w:tc>
      </w:tr>
      <w:tr w:rsidR="00013FAE" w:rsidRPr="0010787D" w:rsidTr="00A54D7B">
        <w:trPr>
          <w:gridAfter w:val="1"/>
          <w:wAfter w:w="607" w:type="dxa"/>
          <w:trHeight w:val="40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добыча полезных ископаемых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-</w:t>
            </w:r>
          </w:p>
        </w:tc>
      </w:tr>
      <w:tr w:rsidR="00013FAE" w:rsidRPr="0010787D" w:rsidTr="00A54D7B">
        <w:trPr>
          <w:gridAfter w:val="1"/>
          <w:wAfter w:w="607" w:type="dxa"/>
          <w:trHeight w:val="40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proofErr w:type="gramStart"/>
            <w:r w:rsidRPr="0010787D">
              <w:rPr>
                <w:sz w:val="16"/>
                <w:szCs w:val="16"/>
              </w:rPr>
              <w:t>в</w:t>
            </w:r>
            <w:proofErr w:type="gramEnd"/>
            <w:r w:rsidRPr="0010787D">
              <w:rPr>
                <w:sz w:val="16"/>
                <w:szCs w:val="16"/>
              </w:rPr>
              <w:t xml:space="preserve"> % </w:t>
            </w:r>
            <w:proofErr w:type="gramStart"/>
            <w:r w:rsidRPr="0010787D">
              <w:rPr>
                <w:sz w:val="16"/>
                <w:szCs w:val="16"/>
              </w:rPr>
              <w:t>к</w:t>
            </w:r>
            <w:proofErr w:type="gramEnd"/>
            <w:r w:rsidRPr="0010787D">
              <w:rPr>
                <w:sz w:val="16"/>
                <w:szCs w:val="16"/>
              </w:rPr>
              <w:t xml:space="preserve"> предыдущему году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-</w:t>
            </w:r>
          </w:p>
        </w:tc>
      </w:tr>
      <w:tr w:rsidR="00013FAE" w:rsidRPr="0010787D" w:rsidTr="00A54D7B">
        <w:trPr>
          <w:gridAfter w:val="1"/>
          <w:wAfter w:w="607" w:type="dxa"/>
          <w:trHeight w:val="40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обрабатывающие производства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5130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4629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6331,86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6418,7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6611,26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6743,49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6941,82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7140,16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6925,56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7358,33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7711,37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7112,55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7799,83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8328,28</w:t>
            </w:r>
          </w:p>
        </w:tc>
      </w:tr>
      <w:tr w:rsidR="00013FAE" w:rsidRPr="0010787D" w:rsidTr="00A54D7B">
        <w:trPr>
          <w:gridAfter w:val="1"/>
          <w:wAfter w:w="607" w:type="dxa"/>
          <w:trHeight w:val="40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proofErr w:type="gramStart"/>
            <w:r w:rsidRPr="0010787D">
              <w:rPr>
                <w:sz w:val="16"/>
                <w:szCs w:val="16"/>
              </w:rPr>
              <w:t>в</w:t>
            </w:r>
            <w:proofErr w:type="gramEnd"/>
            <w:r w:rsidRPr="0010787D">
              <w:rPr>
                <w:sz w:val="16"/>
                <w:szCs w:val="16"/>
              </w:rPr>
              <w:t xml:space="preserve"> % </w:t>
            </w:r>
            <w:proofErr w:type="gramStart"/>
            <w:r w:rsidRPr="0010787D">
              <w:rPr>
                <w:sz w:val="16"/>
                <w:szCs w:val="16"/>
              </w:rPr>
              <w:t>к</w:t>
            </w:r>
            <w:proofErr w:type="gramEnd"/>
            <w:r w:rsidRPr="0010787D">
              <w:rPr>
                <w:sz w:val="16"/>
                <w:szCs w:val="16"/>
              </w:rPr>
              <w:t xml:space="preserve"> предыдущему году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104,3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90,2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136,8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101,5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108,0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106,0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102,7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106,0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108,0</w:t>
            </w:r>
          </w:p>
        </w:tc>
      </w:tr>
      <w:tr w:rsidR="00013FAE" w:rsidRPr="0010787D" w:rsidTr="00A54D7B">
        <w:trPr>
          <w:gridAfter w:val="1"/>
          <w:wAfter w:w="607" w:type="dxa"/>
          <w:trHeight w:val="40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599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536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563,72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311,5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316,8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319,65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322,5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321,87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323,49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326,69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327,99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328,34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330,28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334,55</w:t>
            </w:r>
          </w:p>
        </w:tc>
      </w:tr>
      <w:tr w:rsidR="00013FAE" w:rsidRPr="0010787D" w:rsidTr="00A54D7B">
        <w:trPr>
          <w:gridAfter w:val="1"/>
          <w:wAfter w:w="607" w:type="dxa"/>
          <w:trHeight w:val="40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proofErr w:type="gramStart"/>
            <w:r w:rsidRPr="0010787D">
              <w:rPr>
                <w:sz w:val="16"/>
                <w:szCs w:val="16"/>
              </w:rPr>
              <w:t>в</w:t>
            </w:r>
            <w:proofErr w:type="gramEnd"/>
            <w:r w:rsidRPr="0010787D">
              <w:rPr>
                <w:sz w:val="16"/>
                <w:szCs w:val="16"/>
              </w:rPr>
              <w:t xml:space="preserve"> % </w:t>
            </w:r>
            <w:proofErr w:type="gramStart"/>
            <w:r w:rsidRPr="0010787D">
              <w:rPr>
                <w:sz w:val="16"/>
                <w:szCs w:val="16"/>
              </w:rPr>
              <w:t>к</w:t>
            </w:r>
            <w:proofErr w:type="gramEnd"/>
            <w:r w:rsidRPr="0010787D">
              <w:rPr>
                <w:sz w:val="16"/>
                <w:szCs w:val="16"/>
              </w:rPr>
              <w:t xml:space="preserve"> предыдущему году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109,8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89,5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105,17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57,3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101,7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101,6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101,3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101,9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101,5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101,1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102</w:t>
            </w:r>
          </w:p>
        </w:tc>
      </w:tr>
      <w:tr w:rsidR="00013FAE" w:rsidRPr="0010787D" w:rsidTr="00A54D7B">
        <w:trPr>
          <w:gridAfter w:val="1"/>
          <w:wAfter w:w="607" w:type="dxa"/>
          <w:trHeight w:val="40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млн. рублей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-</w:t>
            </w:r>
          </w:p>
        </w:tc>
      </w:tr>
      <w:tr w:rsidR="00013FAE" w:rsidRPr="0010787D" w:rsidTr="00A54D7B">
        <w:trPr>
          <w:gridAfter w:val="1"/>
          <w:wAfter w:w="607" w:type="dxa"/>
          <w:trHeight w:val="40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proofErr w:type="gramStart"/>
            <w:r w:rsidRPr="0010787D">
              <w:rPr>
                <w:sz w:val="16"/>
                <w:szCs w:val="16"/>
              </w:rPr>
              <w:t>в</w:t>
            </w:r>
            <w:proofErr w:type="gramEnd"/>
            <w:r w:rsidRPr="0010787D">
              <w:rPr>
                <w:sz w:val="16"/>
                <w:szCs w:val="16"/>
              </w:rPr>
              <w:t xml:space="preserve"> % </w:t>
            </w:r>
            <w:proofErr w:type="gramStart"/>
            <w:r w:rsidRPr="0010787D">
              <w:rPr>
                <w:sz w:val="16"/>
                <w:szCs w:val="16"/>
              </w:rPr>
              <w:t>к</w:t>
            </w:r>
            <w:proofErr w:type="gramEnd"/>
            <w:r w:rsidRPr="0010787D">
              <w:rPr>
                <w:sz w:val="16"/>
                <w:szCs w:val="16"/>
              </w:rPr>
              <w:t xml:space="preserve"> предыдущему году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-</w:t>
            </w:r>
          </w:p>
        </w:tc>
      </w:tr>
      <w:tr w:rsidR="00013FAE" w:rsidRPr="0010787D" w:rsidTr="00A54D7B">
        <w:trPr>
          <w:gridAfter w:val="1"/>
          <w:wAfter w:w="607" w:type="dxa"/>
          <w:trHeight w:val="112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42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Объем отгруженных товаров собственного производства, выполненных работ и услуг собственными силами в муниципальном образовании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-</w:t>
            </w:r>
          </w:p>
        </w:tc>
      </w:tr>
      <w:tr w:rsidR="00013FAE" w:rsidRPr="0010787D" w:rsidTr="00A54D7B">
        <w:trPr>
          <w:gridAfter w:val="1"/>
          <w:wAfter w:w="607" w:type="dxa"/>
          <w:trHeight w:val="33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43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Ввод в эксплуатацию жилых домов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кв. 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18630,53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12203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13999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17507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21130,95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22187,50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23244,05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24300,59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22187,50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24406,25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26730,65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22187,5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25626,56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29403,72</w:t>
            </w:r>
          </w:p>
        </w:tc>
      </w:tr>
      <w:tr w:rsidR="00013FAE" w:rsidRPr="0010787D" w:rsidTr="00A54D7B">
        <w:trPr>
          <w:gridAfter w:val="1"/>
          <w:wAfter w:w="607" w:type="dxa"/>
          <w:trHeight w:val="33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proofErr w:type="gramStart"/>
            <w:r w:rsidRPr="0010787D">
              <w:rPr>
                <w:sz w:val="16"/>
                <w:szCs w:val="16"/>
              </w:rPr>
              <w:t>в</w:t>
            </w:r>
            <w:proofErr w:type="gramEnd"/>
            <w:r w:rsidRPr="0010787D">
              <w:rPr>
                <w:sz w:val="16"/>
                <w:szCs w:val="16"/>
              </w:rPr>
              <w:t xml:space="preserve"> % </w:t>
            </w:r>
            <w:proofErr w:type="gramStart"/>
            <w:r w:rsidRPr="0010787D">
              <w:rPr>
                <w:sz w:val="16"/>
                <w:szCs w:val="16"/>
              </w:rPr>
              <w:t>к</w:t>
            </w:r>
            <w:proofErr w:type="gramEnd"/>
            <w:r w:rsidRPr="0010787D">
              <w:rPr>
                <w:sz w:val="16"/>
                <w:szCs w:val="16"/>
              </w:rPr>
              <w:t xml:space="preserve"> предыдущему году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195,8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65,5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114,72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119,3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120,7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115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105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110</w:t>
            </w:r>
          </w:p>
        </w:tc>
      </w:tr>
      <w:tr w:rsidR="00013FAE" w:rsidRPr="0010787D" w:rsidTr="00A54D7B">
        <w:trPr>
          <w:gridAfter w:val="1"/>
          <w:wAfter w:w="607" w:type="dxa"/>
          <w:trHeight w:val="388"/>
        </w:trPr>
        <w:tc>
          <w:tcPr>
            <w:tcW w:w="1587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FAE" w:rsidRPr="00013FAE" w:rsidRDefault="00013FAE" w:rsidP="00013FAE">
            <w:pPr>
              <w:jc w:val="center"/>
            </w:pPr>
            <w:r w:rsidRPr="00013FAE">
              <w:rPr>
                <w:b/>
                <w:bCs/>
              </w:rPr>
              <w:t xml:space="preserve">7. Инвестиции </w:t>
            </w:r>
            <w:r w:rsidRPr="00013FAE">
              <w:t> </w:t>
            </w:r>
          </w:p>
        </w:tc>
      </w:tr>
      <w:tr w:rsidR="00013FAE" w:rsidRPr="0010787D" w:rsidTr="00130286">
        <w:trPr>
          <w:gridAfter w:val="1"/>
          <w:wAfter w:w="607" w:type="dxa"/>
          <w:trHeight w:val="6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44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Инвестиции в основной капитал за счет всех источников финансирования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тыс. руб.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683234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459531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433960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446052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454973,04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459522,77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466802,34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1849237,92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462721,23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478472,40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3996757,92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469662,05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489955,74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5922395,9</w:t>
            </w:r>
          </w:p>
        </w:tc>
      </w:tr>
      <w:tr w:rsidR="00013FAE" w:rsidRPr="0010787D" w:rsidTr="00130286">
        <w:trPr>
          <w:gridAfter w:val="1"/>
          <w:wAfter w:w="607" w:type="dxa"/>
          <w:trHeight w:val="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45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 xml:space="preserve">Индекс физического объема инвестиций в основной капитал 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67,26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94,4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101,2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102,00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102,60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в 4 раза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102,50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в 2 раза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101,5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102,4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109,8</w:t>
            </w:r>
          </w:p>
        </w:tc>
      </w:tr>
      <w:tr w:rsidR="00013FAE" w:rsidRPr="0010787D" w:rsidTr="00130286">
        <w:trPr>
          <w:gridAfter w:val="1"/>
          <w:wAfter w:w="607" w:type="dxa"/>
          <w:trHeight w:val="6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46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 xml:space="preserve">Темп роста объема инвестиций в основной капитал 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% к предыдущему году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67,26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94,4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101,2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102,00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100,20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102,60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в 4 раза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102,50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в 2 раза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101,5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102,4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109,8</w:t>
            </w:r>
          </w:p>
        </w:tc>
      </w:tr>
      <w:tr w:rsidR="00907F6C" w:rsidRPr="0010787D" w:rsidTr="00130286">
        <w:trPr>
          <w:gridAfter w:val="1"/>
          <w:wAfter w:w="607" w:type="dxa"/>
          <w:trHeight w:val="2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6C" w:rsidRPr="0010787D" w:rsidRDefault="00907F6C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lastRenderedPageBreak/>
              <w:t>47</w:t>
            </w:r>
          </w:p>
        </w:tc>
        <w:tc>
          <w:tcPr>
            <w:tcW w:w="15451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F6C" w:rsidRPr="00013FAE" w:rsidRDefault="00907F6C" w:rsidP="00907F6C">
            <w:pPr>
              <w:rPr>
                <w:sz w:val="16"/>
                <w:szCs w:val="16"/>
              </w:rPr>
            </w:pPr>
            <w:r w:rsidRPr="0010787D">
              <w:rPr>
                <w:b/>
                <w:bCs/>
                <w:sz w:val="16"/>
                <w:szCs w:val="16"/>
              </w:rPr>
              <w:t>Инвестиции в основной капитал по источникам финансирования</w:t>
            </w:r>
          </w:p>
        </w:tc>
      </w:tr>
      <w:tr w:rsidR="00A54D7B" w:rsidRPr="0010787D" w:rsidTr="00130286">
        <w:trPr>
          <w:gridAfter w:val="1"/>
          <w:wAfter w:w="607" w:type="dxa"/>
          <w:trHeight w:val="3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 xml:space="preserve">  Собственные средства, из них: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тыс. рублей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111163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434423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199189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137639,6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140392,39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140673,17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144042,59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570624,87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142783,27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147643,65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1233291,53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144925,02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151187,1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1827491,4</w:t>
            </w:r>
          </w:p>
        </w:tc>
      </w:tr>
      <w:tr w:rsidR="00A54D7B" w:rsidRPr="0010787D" w:rsidTr="00130286">
        <w:trPr>
          <w:gridAfter w:val="1"/>
          <w:wAfter w:w="607" w:type="dxa"/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 xml:space="preserve">          прибыль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тыс. рублей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*</w:t>
            </w:r>
          </w:p>
        </w:tc>
      </w:tr>
      <w:tr w:rsidR="00130286" w:rsidRPr="0010787D" w:rsidTr="00130286">
        <w:trPr>
          <w:gridAfter w:val="1"/>
          <w:wAfter w:w="607" w:type="dxa"/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 xml:space="preserve">          амортизация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тыс. рублей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*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*</w:t>
            </w:r>
          </w:p>
        </w:tc>
      </w:tr>
      <w:tr w:rsidR="00130286" w:rsidRPr="0010787D" w:rsidTr="00130286">
        <w:trPr>
          <w:gridAfter w:val="1"/>
          <w:wAfter w:w="607" w:type="dxa"/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 xml:space="preserve">  Привлеченные средства,  из них: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тыс. рублей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663326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25108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234771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72544,24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73995,12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74143,11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75918,99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300753,17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75255,26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77816,96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650017,83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76384,09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79684,57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963196,42</w:t>
            </w:r>
          </w:p>
        </w:tc>
      </w:tr>
      <w:tr w:rsidR="00130286" w:rsidRPr="0010787D" w:rsidTr="00130286">
        <w:trPr>
          <w:gridAfter w:val="1"/>
          <w:wAfter w:w="607" w:type="dxa"/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 xml:space="preserve">          кредиты банков,  в том числе: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тыс. рублей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389799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-</w:t>
            </w:r>
          </w:p>
        </w:tc>
      </w:tr>
      <w:tr w:rsidR="00130286" w:rsidRPr="0010787D" w:rsidTr="00130286">
        <w:trPr>
          <w:gridAfter w:val="1"/>
          <w:wAfter w:w="607" w:type="dxa"/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ind w:firstLineChars="400" w:firstLine="640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 xml:space="preserve">   кредиты иностранных банков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тыс. рублей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-</w:t>
            </w:r>
          </w:p>
        </w:tc>
      </w:tr>
      <w:tr w:rsidR="00130286" w:rsidRPr="0010787D" w:rsidTr="00130286">
        <w:trPr>
          <w:gridAfter w:val="1"/>
          <w:wAfter w:w="607" w:type="dxa"/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 xml:space="preserve">   Заемные средства других организаций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тыс. рублей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-</w:t>
            </w:r>
          </w:p>
        </w:tc>
      </w:tr>
      <w:tr w:rsidR="00130286" w:rsidRPr="0010787D" w:rsidTr="00130286">
        <w:trPr>
          <w:gridAfter w:val="1"/>
          <w:wAfter w:w="607" w:type="dxa"/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 xml:space="preserve">   Бюджетные средства,  в том числе: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тыс. рублей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75143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20984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51225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-</w:t>
            </w:r>
          </w:p>
        </w:tc>
      </w:tr>
      <w:tr w:rsidR="00130286" w:rsidRPr="0010787D" w:rsidTr="00130286">
        <w:trPr>
          <w:gridAfter w:val="1"/>
          <w:wAfter w:w="607" w:type="dxa"/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 xml:space="preserve">           из федерального бюджета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тыс. рублей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370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1588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-</w:t>
            </w:r>
          </w:p>
        </w:tc>
      </w:tr>
      <w:tr w:rsidR="00130286" w:rsidRPr="0010787D" w:rsidTr="00130286">
        <w:trPr>
          <w:gridAfter w:val="1"/>
          <w:wAfter w:w="607" w:type="dxa"/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 xml:space="preserve">           из областного бюджета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тыс. рублей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53145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5033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28142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-</w:t>
            </w:r>
          </w:p>
        </w:tc>
      </w:tr>
      <w:tr w:rsidR="00130286" w:rsidRPr="0010787D" w:rsidTr="00130286">
        <w:trPr>
          <w:gridAfter w:val="1"/>
          <w:wAfter w:w="607" w:type="dxa"/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 xml:space="preserve">           из бюджета муниципального образования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тыс. рублей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21653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15581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21495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-</w:t>
            </w:r>
          </w:p>
        </w:tc>
      </w:tr>
      <w:tr w:rsidR="00130286" w:rsidRPr="0010787D" w:rsidTr="00130286">
        <w:trPr>
          <w:gridAfter w:val="1"/>
          <w:wAfter w:w="607" w:type="dxa"/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 xml:space="preserve">           средства внебюджетных фондов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тыс. рублей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1328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-</w:t>
            </w:r>
          </w:p>
        </w:tc>
      </w:tr>
      <w:tr w:rsidR="00130286" w:rsidRPr="0010787D" w:rsidTr="00130286">
        <w:trPr>
          <w:gridAfter w:val="1"/>
          <w:wAfter w:w="607" w:type="dxa"/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 xml:space="preserve">   Прочие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тыс. рублей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9512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3277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2506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10787D" w:rsidRDefault="0010787D" w:rsidP="0010787D">
            <w:pPr>
              <w:jc w:val="center"/>
              <w:rPr>
                <w:sz w:val="16"/>
                <w:szCs w:val="16"/>
              </w:rPr>
            </w:pPr>
            <w:r w:rsidRPr="0010787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7D" w:rsidRPr="00013FAE" w:rsidRDefault="0010787D" w:rsidP="0010787D">
            <w:pPr>
              <w:jc w:val="center"/>
              <w:rPr>
                <w:sz w:val="16"/>
                <w:szCs w:val="16"/>
              </w:rPr>
            </w:pPr>
            <w:r w:rsidRPr="00013FAE">
              <w:rPr>
                <w:sz w:val="16"/>
                <w:szCs w:val="16"/>
              </w:rPr>
              <w:t>-</w:t>
            </w:r>
          </w:p>
        </w:tc>
      </w:tr>
    </w:tbl>
    <w:p w:rsidR="0010787D" w:rsidRDefault="0010787D" w:rsidP="00AF61CB">
      <w:pPr>
        <w:pStyle w:val="a3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  <w:sectPr w:rsidR="0010787D" w:rsidSect="0010787D">
          <w:headerReference w:type="default" r:id="rId8"/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59637E" w:rsidRPr="001566BA" w:rsidRDefault="002B608F" w:rsidP="00C720E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к уточненному прогнозу социально-экономического развития городского поселения Тутаев </w:t>
      </w:r>
      <w:r w:rsidR="004A4025">
        <w:rPr>
          <w:rFonts w:ascii="Times New Roman" w:hAnsi="Times New Roman" w:cs="Times New Roman"/>
          <w:b/>
          <w:sz w:val="24"/>
          <w:szCs w:val="24"/>
        </w:rPr>
        <w:t>на 201</w:t>
      </w:r>
      <w:r w:rsidR="00691967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4A4025">
        <w:rPr>
          <w:rFonts w:ascii="Times New Roman" w:hAnsi="Times New Roman" w:cs="Times New Roman"/>
          <w:b/>
          <w:sz w:val="24"/>
          <w:szCs w:val="24"/>
        </w:rPr>
        <w:t xml:space="preserve"> и плановый период 20</w:t>
      </w:r>
      <w:r w:rsidR="00691967">
        <w:rPr>
          <w:rFonts w:ascii="Times New Roman" w:hAnsi="Times New Roman" w:cs="Times New Roman"/>
          <w:b/>
          <w:sz w:val="24"/>
          <w:szCs w:val="24"/>
        </w:rPr>
        <w:t>20</w:t>
      </w:r>
      <w:r w:rsidR="004A4025">
        <w:rPr>
          <w:rFonts w:ascii="Times New Roman" w:hAnsi="Times New Roman" w:cs="Times New Roman"/>
          <w:b/>
          <w:sz w:val="24"/>
          <w:szCs w:val="24"/>
        </w:rPr>
        <w:t>-20</w:t>
      </w:r>
      <w:r w:rsidR="00691967">
        <w:rPr>
          <w:rFonts w:ascii="Times New Roman" w:hAnsi="Times New Roman" w:cs="Times New Roman"/>
          <w:b/>
          <w:sz w:val="24"/>
          <w:szCs w:val="24"/>
        </w:rPr>
        <w:t>21</w:t>
      </w:r>
      <w:r w:rsidR="004A4025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="004A4025">
        <w:rPr>
          <w:rFonts w:ascii="Times New Roman" w:hAnsi="Times New Roman" w:cs="Times New Roman"/>
          <w:b/>
          <w:sz w:val="24"/>
          <w:szCs w:val="24"/>
        </w:rPr>
        <w:t>.</w:t>
      </w:r>
    </w:p>
    <w:p w:rsidR="00C720E6" w:rsidRPr="001566BA" w:rsidRDefault="00C720E6" w:rsidP="00C720E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0E6" w:rsidRPr="001566BA" w:rsidRDefault="00C720E6" w:rsidP="005732CF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6BA">
        <w:rPr>
          <w:rFonts w:ascii="Times New Roman" w:hAnsi="Times New Roman" w:cs="Times New Roman"/>
          <w:b/>
          <w:sz w:val="24"/>
          <w:szCs w:val="24"/>
        </w:rPr>
        <w:t xml:space="preserve">Общая </w:t>
      </w:r>
      <w:r w:rsidR="001566BA" w:rsidRPr="001566BA">
        <w:rPr>
          <w:rFonts w:ascii="Times New Roman" w:hAnsi="Times New Roman" w:cs="Times New Roman"/>
          <w:b/>
          <w:sz w:val="24"/>
          <w:szCs w:val="24"/>
        </w:rPr>
        <w:t>оценка социально-экономической ситуации в моногороде</w:t>
      </w:r>
    </w:p>
    <w:p w:rsidR="00D75510" w:rsidRPr="001566BA" w:rsidRDefault="00D75510" w:rsidP="00D75510">
      <w:pPr>
        <w:pStyle w:val="a3"/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47D2A" w:rsidRPr="001566BA" w:rsidRDefault="00747D2A" w:rsidP="00747D2A">
      <w:pPr>
        <w:ind w:firstLine="709"/>
        <w:jc w:val="both"/>
        <w:rPr>
          <w:color w:val="000000"/>
        </w:rPr>
      </w:pPr>
      <w:proofErr w:type="gramStart"/>
      <w:r w:rsidRPr="001566BA">
        <w:rPr>
          <w:color w:val="000000"/>
        </w:rPr>
        <w:t>Предварительный прогноз социально-экономического развития городского поселения Тутаев на 20</w:t>
      </w:r>
      <w:r w:rsidR="00691967">
        <w:rPr>
          <w:color w:val="000000"/>
        </w:rPr>
        <w:t>19</w:t>
      </w:r>
      <w:r w:rsidRPr="001566BA">
        <w:rPr>
          <w:color w:val="000000"/>
        </w:rPr>
        <w:t> г. и плановый период 20</w:t>
      </w:r>
      <w:r w:rsidR="00691967">
        <w:rPr>
          <w:color w:val="000000"/>
        </w:rPr>
        <w:t>20</w:t>
      </w:r>
      <w:r w:rsidRPr="001566BA">
        <w:rPr>
          <w:color w:val="000000"/>
        </w:rPr>
        <w:t>-202</w:t>
      </w:r>
      <w:r w:rsidR="00691967">
        <w:rPr>
          <w:color w:val="000000"/>
        </w:rPr>
        <w:t>1</w:t>
      </w:r>
      <w:r w:rsidRPr="001566BA">
        <w:rPr>
          <w:color w:val="000000"/>
        </w:rPr>
        <w:t xml:space="preserve"> гг. разработан в соответствии с требованиями Бюджетного кодекса Российской Федерации, Постановление Правительства Российской Федерации от 14 ноября 2015 г. № 1234 «О порядке разработки, корректировки, осуществления мониторинга и контроля реализации прогноза социально-экономического развития Российской Федерации на среднесрочный период и признании утратившими силу некоторых актов Правительства Российской Федерации». </w:t>
      </w:r>
      <w:proofErr w:type="gramEnd"/>
    </w:p>
    <w:p w:rsidR="00747D2A" w:rsidRPr="001566BA" w:rsidRDefault="00747D2A" w:rsidP="00747D2A">
      <w:pPr>
        <w:ind w:firstLine="709"/>
        <w:jc w:val="both"/>
      </w:pPr>
      <w:r w:rsidRPr="001566BA">
        <w:t xml:space="preserve">Прогноз социально-экономического развития </w:t>
      </w:r>
      <w:r w:rsidRPr="001566BA">
        <w:rPr>
          <w:color w:val="000000"/>
        </w:rPr>
        <w:t xml:space="preserve">городского поселения Тутаев </w:t>
      </w:r>
      <w:r w:rsidRPr="001566BA">
        <w:t xml:space="preserve">разработан в </w:t>
      </w:r>
      <w:r w:rsidR="004650B5" w:rsidRPr="001566BA">
        <w:t>трех</w:t>
      </w:r>
      <w:r w:rsidRPr="001566BA">
        <w:t xml:space="preserve"> основных вариантах</w:t>
      </w:r>
      <w:r w:rsidR="004650B5" w:rsidRPr="001566BA">
        <w:t>: консервативный, базовый и целевой</w:t>
      </w:r>
      <w:r w:rsidRPr="001566BA">
        <w:t xml:space="preserve">. </w:t>
      </w:r>
    </w:p>
    <w:p w:rsidR="00DE1B39" w:rsidRPr="001566BA" w:rsidRDefault="00747D2A" w:rsidP="00747D2A">
      <w:pPr>
        <w:ind w:firstLine="709"/>
        <w:jc w:val="both"/>
      </w:pPr>
      <w:r w:rsidRPr="001566BA">
        <w:t>Первый вариант является консервативным. Он построен исходя из менее благоприятного</w:t>
      </w:r>
      <w:r w:rsidR="00DE1B39" w:rsidRPr="001566BA">
        <w:t xml:space="preserve"> сценария внешних и внутренних условий развития экономики городского поселения Тутаев.</w:t>
      </w:r>
    </w:p>
    <w:p w:rsidR="00DE1B39" w:rsidRPr="001566BA" w:rsidRDefault="00DE1B39" w:rsidP="00747D2A">
      <w:pPr>
        <w:ind w:firstLine="709"/>
        <w:jc w:val="both"/>
      </w:pPr>
      <w:r w:rsidRPr="001566BA">
        <w:t>Базовый вариант краткосрочного прогноза построен исходя из более благоприятных внешних и внутренних условий. Данный вариант долгосрочного прогноза является базовым для составления бюджетного прогноза городского поселения Тутаев.</w:t>
      </w:r>
    </w:p>
    <w:p w:rsidR="00DE1B39" w:rsidRPr="001566BA" w:rsidRDefault="00DE1B39" w:rsidP="00747D2A">
      <w:pPr>
        <w:ind w:firstLine="709"/>
        <w:jc w:val="both"/>
      </w:pPr>
      <w:r w:rsidRPr="001566BA">
        <w:t>Целевой вариант краткосрочного прогноза основан на достижении целевых показателей социально-экономического развития при консервативных внешнеэкономических условиях.</w:t>
      </w:r>
      <w:r w:rsidR="00747D2A" w:rsidRPr="001566BA">
        <w:t xml:space="preserve"> </w:t>
      </w:r>
    </w:p>
    <w:p w:rsidR="00747D2A" w:rsidRPr="001566BA" w:rsidRDefault="00747D2A" w:rsidP="00747D2A">
      <w:pPr>
        <w:ind w:firstLine="709"/>
        <w:jc w:val="both"/>
      </w:pPr>
      <w:r w:rsidRPr="001566BA">
        <w:t xml:space="preserve">Второй вариант является благоприятным (базовым), исходит из более благоприятных внешних и внутренних условий развития экономики города и ее социальной сферы. Этот вариант (после снижения темпов прироста в 2013 году) предполагает в дальнейшем устойчивый рост экономики и постепенное улучшение основных социально-экономических показателей на фоне аналогичного развития социально-экономической ситуации в Ярославской области. </w:t>
      </w:r>
    </w:p>
    <w:p w:rsidR="001566BA" w:rsidRPr="001566BA" w:rsidRDefault="00747D2A" w:rsidP="00747D2A">
      <w:pPr>
        <w:ind w:firstLine="709"/>
        <w:jc w:val="both"/>
      </w:pPr>
      <w:r w:rsidRPr="001566BA">
        <w:t xml:space="preserve">При подготовке прогноза были использованы данные государственной и ведомственной статистики; данные структурных подразделений Администрации ТМР; данные промышленных предприятий города. Предварительная оценка показателей текущего года производится на основе фактических данных за </w:t>
      </w:r>
      <w:r w:rsidR="001566BA" w:rsidRPr="001566BA">
        <w:t>1 квартал</w:t>
      </w:r>
      <w:r w:rsidRPr="001566BA">
        <w:t xml:space="preserve">. </w:t>
      </w:r>
    </w:p>
    <w:p w:rsidR="00747D2A" w:rsidRPr="001566BA" w:rsidRDefault="00747D2A" w:rsidP="00747D2A">
      <w:pPr>
        <w:ind w:firstLine="709"/>
        <w:jc w:val="both"/>
      </w:pPr>
      <w:r w:rsidRPr="001566BA">
        <w:t>В прогнозных расчетах показателей учитывались оперативные данные и предварительные итоги финансовой и хозяйственной деятельности предприятий и организаций различных секторов экономики города, а также социально-демографических процессов, тенденции их развития и другие условия функционирования экономики и социальной сферы города.</w:t>
      </w:r>
    </w:p>
    <w:p w:rsidR="00747D2A" w:rsidRPr="001566BA" w:rsidRDefault="00747D2A" w:rsidP="00747D2A">
      <w:pPr>
        <w:pStyle w:val="2"/>
        <w:spacing w:after="0" w:line="276" w:lineRule="auto"/>
        <w:ind w:firstLine="709"/>
        <w:jc w:val="both"/>
        <w:rPr>
          <w:lang w:eastAsia="ru-RU"/>
        </w:rPr>
      </w:pPr>
      <w:r w:rsidRPr="001566BA">
        <w:rPr>
          <w:lang w:eastAsia="ru-RU"/>
        </w:rPr>
        <w:t xml:space="preserve">В текущем году разработка прогноза социально-экономического развития проходит в условиях </w:t>
      </w:r>
      <w:proofErr w:type="spellStart"/>
      <w:r w:rsidRPr="001566BA">
        <w:rPr>
          <w:lang w:eastAsia="ru-RU"/>
        </w:rPr>
        <w:t>многовариантности</w:t>
      </w:r>
      <w:proofErr w:type="spellEnd"/>
      <w:r w:rsidRPr="001566BA">
        <w:rPr>
          <w:lang w:eastAsia="ru-RU"/>
        </w:rPr>
        <w:t xml:space="preserve"> развития мировой экономики. </w:t>
      </w:r>
    </w:p>
    <w:p w:rsidR="00747D2A" w:rsidRPr="001566BA" w:rsidRDefault="00747D2A" w:rsidP="00747D2A">
      <w:pPr>
        <w:ind w:firstLine="709"/>
        <w:jc w:val="both"/>
      </w:pPr>
      <w:r w:rsidRPr="001566BA">
        <w:t>Прогноз социально-экономической ситуации в городе учитывает воздействие следующих факторов (условий):</w:t>
      </w:r>
    </w:p>
    <w:p w:rsidR="00747D2A" w:rsidRPr="001566BA" w:rsidRDefault="00747D2A" w:rsidP="00747D2A">
      <w:pPr>
        <w:ind w:firstLine="709"/>
        <w:jc w:val="both"/>
        <w:rPr>
          <w:u w:val="single"/>
        </w:rPr>
      </w:pPr>
      <w:r w:rsidRPr="001566BA">
        <w:rPr>
          <w:u w:val="single"/>
        </w:rPr>
        <w:t>внешние условия:</w:t>
      </w:r>
    </w:p>
    <w:p w:rsidR="007E17FA" w:rsidRPr="007E17FA" w:rsidRDefault="007E17FA" w:rsidP="007E17FA">
      <w:pPr>
        <w:shd w:val="clear" w:color="auto" w:fill="FFFFFF"/>
        <w:ind w:firstLine="708"/>
        <w:rPr>
          <w:color w:val="000000" w:themeColor="text1"/>
        </w:rPr>
      </w:pPr>
      <w:r w:rsidRPr="007E17FA">
        <w:rPr>
          <w:color w:val="000000" w:themeColor="text1"/>
        </w:rPr>
        <w:t>- повышение инвестиционной привлекательности Российской Федерации, улучшение делового климата и создание благоприятной деловой среды;</w:t>
      </w:r>
    </w:p>
    <w:p w:rsidR="007E17FA" w:rsidRPr="007E17FA" w:rsidRDefault="007E17FA" w:rsidP="007E17FA">
      <w:pPr>
        <w:shd w:val="clear" w:color="auto" w:fill="FFFFFF"/>
        <w:ind w:firstLine="708"/>
        <w:rPr>
          <w:color w:val="000000" w:themeColor="text1"/>
        </w:rPr>
      </w:pPr>
      <w:r w:rsidRPr="007E17FA">
        <w:rPr>
          <w:color w:val="000000" w:themeColor="text1"/>
        </w:rPr>
        <w:t xml:space="preserve">- рост доли производительных расходов в структуре бюджетов </w:t>
      </w:r>
      <w:hyperlink r:id="rId9" w:tooltip="Бюджетная система" w:history="1">
        <w:r w:rsidRPr="007E17FA">
          <w:rPr>
            <w:rStyle w:val="ae"/>
            <w:color w:val="000000" w:themeColor="text1"/>
          </w:rPr>
          <w:t>бюджетной системы</w:t>
        </w:r>
      </w:hyperlink>
      <w:r w:rsidRPr="007E17FA">
        <w:rPr>
          <w:color w:val="000000" w:themeColor="text1"/>
        </w:rPr>
        <w:t xml:space="preserve"> Российской Федерации;</w:t>
      </w:r>
    </w:p>
    <w:p w:rsidR="007E17FA" w:rsidRPr="007E17FA" w:rsidRDefault="007E17FA" w:rsidP="007E17FA">
      <w:pPr>
        <w:shd w:val="clear" w:color="auto" w:fill="FFFFFF"/>
        <w:ind w:firstLine="708"/>
        <w:rPr>
          <w:color w:val="000000" w:themeColor="text1"/>
        </w:rPr>
      </w:pPr>
      <w:r w:rsidRPr="007E17FA">
        <w:rPr>
          <w:color w:val="000000" w:themeColor="text1"/>
        </w:rPr>
        <w:t xml:space="preserve">- </w:t>
      </w:r>
      <w:hyperlink r:id="rId10" w:tooltip="Замещение импорта" w:history="1">
        <w:proofErr w:type="spellStart"/>
        <w:r w:rsidRPr="007E17FA">
          <w:rPr>
            <w:rStyle w:val="ae"/>
            <w:color w:val="000000" w:themeColor="text1"/>
          </w:rPr>
          <w:t>импортозамещение</w:t>
        </w:r>
        <w:proofErr w:type="spellEnd"/>
      </w:hyperlink>
      <w:r w:rsidRPr="007E17FA">
        <w:rPr>
          <w:color w:val="000000" w:themeColor="text1"/>
        </w:rPr>
        <w:t>;</w:t>
      </w:r>
    </w:p>
    <w:p w:rsidR="007E17FA" w:rsidRPr="007E17FA" w:rsidRDefault="007E17FA" w:rsidP="007E17FA">
      <w:pPr>
        <w:shd w:val="clear" w:color="auto" w:fill="FFFFFF"/>
        <w:ind w:firstLine="708"/>
        <w:rPr>
          <w:color w:val="000000" w:themeColor="text1"/>
        </w:rPr>
      </w:pPr>
      <w:r w:rsidRPr="007E17FA">
        <w:rPr>
          <w:color w:val="000000" w:themeColor="text1"/>
        </w:rPr>
        <w:t>- повышение качества жизни и увеличение объема инвестиций в человеческий капитал;</w:t>
      </w:r>
    </w:p>
    <w:p w:rsidR="007E17FA" w:rsidRPr="007E17FA" w:rsidRDefault="007E17FA" w:rsidP="007E17FA">
      <w:pPr>
        <w:shd w:val="clear" w:color="auto" w:fill="FFFFFF"/>
        <w:ind w:firstLine="708"/>
        <w:rPr>
          <w:color w:val="000000" w:themeColor="text1"/>
        </w:rPr>
      </w:pPr>
      <w:r w:rsidRPr="007E17FA">
        <w:rPr>
          <w:color w:val="000000" w:themeColor="text1"/>
        </w:rPr>
        <w:t xml:space="preserve">- сбалансированное </w:t>
      </w:r>
      <w:hyperlink r:id="rId11" w:tooltip="Региональное развитие" w:history="1">
        <w:r w:rsidRPr="007E17FA">
          <w:rPr>
            <w:rStyle w:val="ae"/>
            <w:color w:val="000000" w:themeColor="text1"/>
          </w:rPr>
          <w:t>региональное развитие</w:t>
        </w:r>
      </w:hyperlink>
      <w:r w:rsidRPr="007E17FA">
        <w:rPr>
          <w:color w:val="000000" w:themeColor="text1"/>
        </w:rPr>
        <w:t>;</w:t>
      </w:r>
    </w:p>
    <w:p w:rsidR="007E17FA" w:rsidRPr="007E17FA" w:rsidRDefault="007E17FA" w:rsidP="007E17FA">
      <w:pPr>
        <w:shd w:val="clear" w:color="auto" w:fill="FFFFFF"/>
        <w:ind w:firstLine="708"/>
        <w:rPr>
          <w:color w:val="000000" w:themeColor="text1"/>
        </w:rPr>
      </w:pPr>
      <w:r w:rsidRPr="007E17FA">
        <w:rPr>
          <w:color w:val="000000" w:themeColor="text1"/>
        </w:rPr>
        <w:lastRenderedPageBreak/>
        <w:t>- повышение качества функционирования институтов государственной власти;</w:t>
      </w:r>
    </w:p>
    <w:p w:rsidR="007E17FA" w:rsidRPr="007E17FA" w:rsidRDefault="007E17FA" w:rsidP="007E17FA">
      <w:pPr>
        <w:shd w:val="clear" w:color="auto" w:fill="FFFFFF"/>
        <w:ind w:firstLine="708"/>
        <w:rPr>
          <w:color w:val="000000" w:themeColor="text1"/>
        </w:rPr>
      </w:pPr>
      <w:r w:rsidRPr="007E17FA">
        <w:rPr>
          <w:color w:val="000000" w:themeColor="text1"/>
        </w:rPr>
        <w:t xml:space="preserve">- развитие </w:t>
      </w:r>
      <w:hyperlink r:id="rId12" w:tooltip="Информационные технологии" w:history="1">
        <w:r w:rsidRPr="007E17FA">
          <w:rPr>
            <w:rStyle w:val="ae"/>
            <w:color w:val="000000" w:themeColor="text1"/>
          </w:rPr>
          <w:t>информационных технологий</w:t>
        </w:r>
      </w:hyperlink>
      <w:r w:rsidRPr="007E17FA">
        <w:rPr>
          <w:color w:val="000000" w:themeColor="text1"/>
        </w:rPr>
        <w:t xml:space="preserve"> и поддержка высокотехнологичных секторов экономики.</w:t>
      </w:r>
    </w:p>
    <w:p w:rsidR="00747D2A" w:rsidRPr="001566BA" w:rsidRDefault="00747D2A" w:rsidP="00747D2A">
      <w:pPr>
        <w:ind w:firstLine="709"/>
        <w:jc w:val="both"/>
        <w:rPr>
          <w:u w:val="single"/>
        </w:rPr>
      </w:pPr>
      <w:r w:rsidRPr="001566BA">
        <w:rPr>
          <w:u w:val="single"/>
        </w:rPr>
        <w:t>внутренние условия:</w:t>
      </w:r>
    </w:p>
    <w:p w:rsidR="00E92701" w:rsidRDefault="00E92701" w:rsidP="00E92701">
      <w:pPr>
        <w:tabs>
          <w:tab w:val="left" w:pos="851"/>
          <w:tab w:val="left" w:pos="1276"/>
        </w:tabs>
        <w:ind w:firstLine="709"/>
        <w:jc w:val="both"/>
      </w:pPr>
      <w:r>
        <w:t>-</w:t>
      </w:r>
      <w:r>
        <w:tab/>
      </w:r>
      <w:r w:rsidRPr="00E92701">
        <w:t>сохранение ежегодных темпов прироста в промышленности</w:t>
      </w:r>
      <w:r>
        <w:t>;</w:t>
      </w:r>
    </w:p>
    <w:p w:rsidR="00E92701" w:rsidRPr="00E92701" w:rsidRDefault="00E92701" w:rsidP="00E92701">
      <w:pPr>
        <w:tabs>
          <w:tab w:val="left" w:pos="851"/>
          <w:tab w:val="left" w:pos="1276"/>
        </w:tabs>
        <w:ind w:firstLine="709"/>
        <w:jc w:val="both"/>
      </w:pPr>
      <w:r>
        <w:t>-</w:t>
      </w:r>
      <w:r>
        <w:tab/>
      </w:r>
      <w:r w:rsidRPr="00E92701">
        <w:t>стабилизация инвестиционной активности и умеренный рост в ряде менее значимых для валового регионального продукта видов экономической деятельности (в частности в строительстве).</w:t>
      </w:r>
    </w:p>
    <w:p w:rsidR="004314BE" w:rsidRDefault="00371838" w:rsidP="00371838">
      <w:pPr>
        <w:pStyle w:val="a3"/>
        <w:spacing w:line="276" w:lineRule="auto"/>
        <w:ind w:firstLine="720"/>
        <w:jc w:val="both"/>
        <w:rPr>
          <w:rFonts w:ascii="Times New Roman" w:hAnsi="Times New Roman" w:cs="Times New Roman"/>
          <w:color w:val="303030"/>
          <w:sz w:val="24"/>
          <w:szCs w:val="24"/>
        </w:rPr>
      </w:pPr>
      <w:r w:rsidRPr="00371838">
        <w:rPr>
          <w:rFonts w:ascii="Times New Roman" w:hAnsi="Times New Roman" w:cs="Times New Roman"/>
          <w:color w:val="303030"/>
          <w:sz w:val="24"/>
          <w:szCs w:val="24"/>
        </w:rPr>
        <w:t>Российская экономика восстанавливается после кризиса, что отражается на улучшении макроэкономических показателей. Согласно прогнозам экспертов МВФ, экономическая ситуация в России в 2018 году сохранит положительные тенденции. Рост отечественного ВВП ускорится до 1,44%, а инфляция приблизится к отметке 4%. Кроме того, показатели безработицы будут сохраняться на уровне 5,5%. Подобные оценки совпадают с прогнозами Минэкономразвития, где ожидают возобновление устойчивого роста экономики.</w:t>
      </w:r>
    </w:p>
    <w:p w:rsidR="00AF61CB" w:rsidRPr="00371838" w:rsidRDefault="00AF61CB" w:rsidP="00371838">
      <w:pPr>
        <w:pStyle w:val="a3"/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4657" w:rsidRPr="001566BA" w:rsidRDefault="004D4657" w:rsidP="005732CF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6BA">
        <w:rPr>
          <w:rFonts w:ascii="Times New Roman" w:hAnsi="Times New Roman" w:cs="Times New Roman"/>
          <w:b/>
          <w:sz w:val="24"/>
          <w:szCs w:val="24"/>
        </w:rPr>
        <w:t>Градообразующее предприятие</w:t>
      </w:r>
    </w:p>
    <w:p w:rsidR="00D75510" w:rsidRPr="001566BA" w:rsidRDefault="00D75510" w:rsidP="00D75510">
      <w:pPr>
        <w:pStyle w:val="a3"/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8305A" w:rsidRPr="00B8305A" w:rsidRDefault="00B8305A" w:rsidP="00B8305A">
      <w:pPr>
        <w:spacing w:line="249" w:lineRule="atLeast"/>
        <w:ind w:firstLine="709"/>
        <w:jc w:val="both"/>
      </w:pPr>
      <w:r w:rsidRPr="00B8305A">
        <w:rPr>
          <w:bCs/>
        </w:rPr>
        <w:t>Публичное акционерное общество «Тутаевский моторный завод»</w:t>
      </w:r>
      <w:r w:rsidRPr="00B8305A">
        <w:t xml:space="preserve">, сокращенное наименование </w:t>
      </w:r>
      <w:r w:rsidRPr="00B8305A">
        <w:rPr>
          <w:bCs/>
        </w:rPr>
        <w:t>ПАО «ТМЗ»</w:t>
      </w:r>
      <w:r w:rsidRPr="00B8305A">
        <w:t>, создано в 1968 году как филиал Ярославского моторного завода.</w:t>
      </w:r>
    </w:p>
    <w:p w:rsidR="00B8305A" w:rsidRPr="00B8305A" w:rsidRDefault="00B8305A" w:rsidP="00B8305A">
      <w:pPr>
        <w:spacing w:line="249" w:lineRule="atLeast"/>
        <w:ind w:firstLine="708"/>
        <w:jc w:val="both"/>
      </w:pPr>
      <w:r w:rsidRPr="00B8305A">
        <w:t xml:space="preserve">В 1993 году распоряжением Главы Администрации города Тутаева и Тутаевского района  № 618,  в соответствии с Указом Президента Российской Федерации № 721 от </w:t>
      </w:r>
      <w:r>
        <w:t>0</w:t>
      </w:r>
      <w:r w:rsidRPr="00B8305A">
        <w:t>1.07.1992 г. "О приватизации государственных и муниципальных предприятий в Российской Федерации" общество было зарегистрировано как Акционерное общество открытого типа "Тутаевский моторный завод".</w:t>
      </w:r>
    </w:p>
    <w:p w:rsidR="00B8305A" w:rsidRPr="00B8305A" w:rsidRDefault="00B8305A" w:rsidP="00B8305A">
      <w:pPr>
        <w:spacing w:line="249" w:lineRule="atLeast"/>
        <w:ind w:firstLine="708"/>
        <w:jc w:val="both"/>
      </w:pPr>
      <w:r w:rsidRPr="00B8305A">
        <w:t>В 1998 году решением общего собрания акционеров общество было переименовано в Открытое акционерное общество «Тутаевский моторный завод».</w:t>
      </w:r>
    </w:p>
    <w:p w:rsidR="0081079B" w:rsidRPr="0081079B" w:rsidRDefault="0081079B" w:rsidP="00034C1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2017 года Тутаевский моторный завод публичное акционерное общество.</w:t>
      </w:r>
    </w:p>
    <w:p w:rsidR="008A3528" w:rsidRPr="001566BA" w:rsidRDefault="008A3528" w:rsidP="00034C1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6BA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  <w:r w:rsidR="0081079B">
        <w:rPr>
          <w:rFonts w:ascii="Times New Roman" w:hAnsi="Times New Roman" w:cs="Times New Roman"/>
          <w:sz w:val="24"/>
          <w:szCs w:val="24"/>
        </w:rPr>
        <w:t>ПАО</w:t>
      </w:r>
      <w:r w:rsidRPr="001566BA">
        <w:rPr>
          <w:rFonts w:ascii="Times New Roman" w:hAnsi="Times New Roman" w:cs="Times New Roman"/>
          <w:sz w:val="24"/>
          <w:szCs w:val="24"/>
        </w:rPr>
        <w:t xml:space="preserve"> «ТМЗ» </w:t>
      </w:r>
      <w:proofErr w:type="spellStart"/>
      <w:r w:rsidRPr="001566BA">
        <w:rPr>
          <w:rFonts w:ascii="Times New Roman" w:hAnsi="Times New Roman" w:cs="Times New Roman"/>
          <w:sz w:val="24"/>
          <w:szCs w:val="24"/>
        </w:rPr>
        <w:t>Грибанов</w:t>
      </w:r>
      <w:proofErr w:type="spellEnd"/>
      <w:r w:rsidRPr="001566BA">
        <w:rPr>
          <w:rFonts w:ascii="Times New Roman" w:hAnsi="Times New Roman" w:cs="Times New Roman"/>
          <w:sz w:val="24"/>
          <w:szCs w:val="24"/>
        </w:rPr>
        <w:t xml:space="preserve"> Виталий Михайлович.</w:t>
      </w:r>
    </w:p>
    <w:p w:rsidR="008A3528" w:rsidRPr="001566BA" w:rsidRDefault="008A3528" w:rsidP="008A3528">
      <w:pPr>
        <w:ind w:firstLine="709"/>
        <w:jc w:val="both"/>
      </w:pPr>
      <w:r w:rsidRPr="001566BA">
        <w:t xml:space="preserve">Предприятие выпускает более 40 модификаций 8-цилиндровых V-образных дизелей базовых моделей 8481 и 8424 мощностью 300-600 л.с. с </w:t>
      </w:r>
      <w:proofErr w:type="spellStart"/>
      <w:r w:rsidRPr="001566BA">
        <w:t>турбонадувом</w:t>
      </w:r>
      <w:proofErr w:type="spellEnd"/>
      <w:r w:rsidRPr="001566BA">
        <w:t xml:space="preserve"> и промежуточным охлаждением </w:t>
      </w:r>
      <w:r w:rsidR="008C045D" w:rsidRPr="001566BA">
        <w:t>надувочного</w:t>
      </w:r>
      <w:r w:rsidRPr="001566BA">
        <w:t xml:space="preserve"> воздуха, которые по своему техническому уровню являются одними </w:t>
      </w:r>
      <w:proofErr w:type="gramStart"/>
      <w:r w:rsidRPr="001566BA">
        <w:t>из</w:t>
      </w:r>
      <w:proofErr w:type="gramEnd"/>
      <w:r w:rsidRPr="001566BA">
        <w:t xml:space="preserve"> самых современных в России, имеют высокие энергетические показатели, надежность и экономичность.</w:t>
      </w:r>
    </w:p>
    <w:p w:rsidR="008A3528" w:rsidRPr="001566BA" w:rsidRDefault="008A3528" w:rsidP="008A3528">
      <w:pPr>
        <w:ind w:firstLine="709"/>
        <w:jc w:val="both"/>
      </w:pPr>
      <w:r w:rsidRPr="001566BA">
        <w:t>Подтверждением этому служат неоднократные победы в международных ралли-марафонах автомобилей "КАМАЗ-Мастер", оснащенных спортивными модификациями двигателя 8424.</w:t>
      </w:r>
    </w:p>
    <w:p w:rsidR="008A3528" w:rsidRPr="001566BA" w:rsidRDefault="008A3528" w:rsidP="008A3528">
      <w:pPr>
        <w:ind w:firstLine="709"/>
        <w:jc w:val="both"/>
      </w:pPr>
      <w:r w:rsidRPr="001566BA">
        <w:t>Кроме двигателей завод выпускает коробки передач с крутящим моментом 900-1300 Нм, узлы и детали к двигателям ЯМЗ, детали цилиндропоршневой группы, отливки из серого чугуна, горячие и холодные штамповки.</w:t>
      </w:r>
    </w:p>
    <w:p w:rsidR="008A3528" w:rsidRPr="001566BA" w:rsidRDefault="008A3528" w:rsidP="008A3528">
      <w:pPr>
        <w:ind w:firstLine="709"/>
        <w:jc w:val="both"/>
      </w:pPr>
      <w:r w:rsidRPr="001566BA">
        <w:t xml:space="preserve">Достоинства </w:t>
      </w:r>
      <w:proofErr w:type="spellStart"/>
      <w:r w:rsidRPr="001566BA">
        <w:t>тутаевских</w:t>
      </w:r>
      <w:proofErr w:type="spellEnd"/>
      <w:r w:rsidRPr="001566BA">
        <w:t xml:space="preserve"> моторов определяются их конструктивными особенностями. </w:t>
      </w:r>
      <w:proofErr w:type="gramStart"/>
      <w:r w:rsidRPr="001566BA">
        <w:t xml:space="preserve">Это 4-клапанная индивидуальная головка цилиндра, возможность регулировки оптимального </w:t>
      </w:r>
      <w:proofErr w:type="spellStart"/>
      <w:r w:rsidRPr="001566BA">
        <w:t>надпоршневого</w:t>
      </w:r>
      <w:proofErr w:type="spellEnd"/>
      <w:r w:rsidRPr="001566BA">
        <w:t xml:space="preserve"> зазора при сборке двигателя, поршни с охлаждением внутренней полости маслом, топливная аппаратура с высокой энергией впрыска, встроенный водомасляный радиатор, привод вентилятора через гидродинамическую или фрикционную муфту с автоматическим управлением, а также использование в составе двигателя деталей и узлов, разработанных с участием мировых лидеров "</w:t>
      </w:r>
      <w:proofErr w:type="spellStart"/>
      <w:r w:rsidRPr="001566BA">
        <w:t>Мале</w:t>
      </w:r>
      <w:proofErr w:type="spellEnd"/>
      <w:r w:rsidRPr="001566BA">
        <w:t>", "</w:t>
      </w:r>
      <w:proofErr w:type="spellStart"/>
      <w:r w:rsidRPr="001566BA">
        <w:t>Гетце</w:t>
      </w:r>
      <w:proofErr w:type="spellEnd"/>
      <w:r w:rsidRPr="001566BA">
        <w:t>", "</w:t>
      </w:r>
      <w:proofErr w:type="spellStart"/>
      <w:r w:rsidRPr="001566BA">
        <w:t>Гулд</w:t>
      </w:r>
      <w:proofErr w:type="spellEnd"/>
      <w:r w:rsidRPr="001566BA">
        <w:t>", "ККК" и изготовленных на фирменном</w:t>
      </w:r>
      <w:proofErr w:type="gramEnd"/>
      <w:r w:rsidRPr="001566BA">
        <w:t xml:space="preserve"> </w:t>
      </w:r>
      <w:proofErr w:type="gramStart"/>
      <w:r w:rsidRPr="001566BA">
        <w:t>оборудовании</w:t>
      </w:r>
      <w:proofErr w:type="gramEnd"/>
      <w:r w:rsidRPr="001566BA">
        <w:t>.</w:t>
      </w:r>
    </w:p>
    <w:p w:rsidR="008A3528" w:rsidRPr="001566BA" w:rsidRDefault="008A3528" w:rsidP="008A3528">
      <w:pPr>
        <w:ind w:firstLine="709"/>
        <w:jc w:val="both"/>
      </w:pPr>
      <w:r w:rsidRPr="001566BA">
        <w:lastRenderedPageBreak/>
        <w:t>Вся продукция завода соответствует современным требованиям по экологии и безопасности, при этом автомобильные двигатели сертифицированы на соответствие экологическому классу 3, а тракторные модификации удовлетворяют требованиям Правил ЕЭК ООН № 96. Предприятие имеет Свидетельство о признании Российским Речным Регистром и с 2002 года производит судовые дизели мощностью 355 л.с. и 440 л.</w:t>
      </w:r>
      <w:proofErr w:type="gramStart"/>
      <w:r w:rsidRPr="001566BA">
        <w:t>с</w:t>
      </w:r>
      <w:proofErr w:type="gramEnd"/>
      <w:r w:rsidRPr="001566BA">
        <w:t>.</w:t>
      </w:r>
    </w:p>
    <w:p w:rsidR="008A3528" w:rsidRPr="001566BA" w:rsidRDefault="008A3528" w:rsidP="008A3528">
      <w:pPr>
        <w:ind w:firstLine="709"/>
        <w:jc w:val="both"/>
      </w:pPr>
      <w:r w:rsidRPr="001566BA">
        <w:t xml:space="preserve">В ближайшей перспективе, наряду с обеспечением экологических требований на уровне норм Евро-4, будет решена задача по созданию моторов мощностью до 700 л.с. Расширение </w:t>
      </w:r>
      <w:proofErr w:type="spellStart"/>
      <w:r w:rsidRPr="001566BA">
        <w:t>мощностного</w:t>
      </w:r>
      <w:proofErr w:type="spellEnd"/>
      <w:r w:rsidRPr="001566BA">
        <w:t xml:space="preserve"> диапазона </w:t>
      </w:r>
      <w:proofErr w:type="spellStart"/>
      <w:r w:rsidRPr="001566BA">
        <w:t>тутаевских</w:t>
      </w:r>
      <w:proofErr w:type="spellEnd"/>
      <w:r w:rsidRPr="001566BA">
        <w:t xml:space="preserve"> двигателей позволит полностью раскрыть высокий потенциал базовой конструкции, обеспечит расширение их применяемости и, как следствие, будут заняты новые ниши на рынке сбыта. В современных условиях деятельность завода по расширению ряда модификаций и комплектаций серийных моделей, модернизации базовых конструкций и созданию перспективных образцов направлена на максимальное удовлетворение запросов заказчиков, расширение круга потребителей и повышение технического уровня продукции.</w:t>
      </w:r>
    </w:p>
    <w:p w:rsidR="00BB7D02" w:rsidRPr="001566BA" w:rsidRDefault="00BB7D02" w:rsidP="008A3528">
      <w:pPr>
        <w:ind w:firstLine="709"/>
        <w:jc w:val="both"/>
      </w:pPr>
    </w:p>
    <w:p w:rsidR="00BB7D02" w:rsidRPr="001566BA" w:rsidRDefault="00EF1341" w:rsidP="008A3528">
      <w:pPr>
        <w:ind w:firstLine="709"/>
        <w:jc w:val="both"/>
      </w:pPr>
      <w:r>
        <w:t>П</w:t>
      </w:r>
      <w:r w:rsidR="00FD1266" w:rsidRPr="001566BA">
        <w:t>АО «ТМЗ» входит в состав холдинга ГК «</w:t>
      </w:r>
      <w:proofErr w:type="spellStart"/>
      <w:r w:rsidR="00FD1266" w:rsidRPr="001566BA">
        <w:t>Ростехнологии</w:t>
      </w:r>
      <w:proofErr w:type="spellEnd"/>
      <w:r w:rsidR="00FD1266" w:rsidRPr="001566BA">
        <w:t>».</w:t>
      </w:r>
    </w:p>
    <w:p w:rsidR="008A461C" w:rsidRPr="001566BA" w:rsidRDefault="00FD1266" w:rsidP="008A461C">
      <w:pPr>
        <w:ind w:firstLine="709"/>
        <w:jc w:val="both"/>
      </w:pPr>
      <w:proofErr w:type="gramStart"/>
      <w:r w:rsidRPr="001566BA">
        <w:t xml:space="preserve">Численность персонала </w:t>
      </w:r>
      <w:r w:rsidR="00EF1341">
        <w:t>П</w:t>
      </w:r>
      <w:r w:rsidRPr="001566BA">
        <w:t>АО «ТМЗ» снижается: по состоянию на 01.</w:t>
      </w:r>
      <w:r w:rsidR="0059356C" w:rsidRPr="001566BA">
        <w:t>01</w:t>
      </w:r>
      <w:r w:rsidRPr="001566BA">
        <w:t>.201</w:t>
      </w:r>
      <w:r w:rsidR="0059356C" w:rsidRPr="001566BA">
        <w:t>5</w:t>
      </w:r>
      <w:r w:rsidRPr="001566BA">
        <w:t xml:space="preserve"> г. – </w:t>
      </w:r>
      <w:r w:rsidR="0059356C" w:rsidRPr="001566BA">
        <w:t>1 604</w:t>
      </w:r>
      <w:r w:rsidRPr="001566BA">
        <w:t xml:space="preserve"> чел. (</w:t>
      </w:r>
      <w:r w:rsidR="006C7B61" w:rsidRPr="001566BA">
        <w:t>84</w:t>
      </w:r>
      <w:r w:rsidRPr="001566BA">
        <w:t xml:space="preserve"> % к 201</w:t>
      </w:r>
      <w:r w:rsidR="00E81782" w:rsidRPr="001566BA">
        <w:t>3</w:t>
      </w:r>
      <w:r w:rsidRPr="001566BA">
        <w:t xml:space="preserve"> году)</w:t>
      </w:r>
      <w:r w:rsidR="006C7B61" w:rsidRPr="001566BA">
        <w:t>, на 01.01.2016 г. – 1 514 чел. (94 % к 201</w:t>
      </w:r>
      <w:r w:rsidR="00E81782" w:rsidRPr="001566BA">
        <w:t>4</w:t>
      </w:r>
      <w:r w:rsidR="006C7B61" w:rsidRPr="001566BA">
        <w:t xml:space="preserve"> году)</w:t>
      </w:r>
      <w:r w:rsidR="002E0F2F" w:rsidRPr="001566BA">
        <w:t>; на 01.01.2017 г</w:t>
      </w:r>
      <w:r w:rsidR="00FD47A7">
        <w:t>.</w:t>
      </w:r>
      <w:r w:rsidR="002E0F2F" w:rsidRPr="001566BA">
        <w:t xml:space="preserve"> – 1570 чел. (103,7% к 201</w:t>
      </w:r>
      <w:r w:rsidR="00E81782" w:rsidRPr="001566BA">
        <w:t>5</w:t>
      </w:r>
      <w:r w:rsidR="002E0F2F" w:rsidRPr="001566BA">
        <w:t xml:space="preserve"> году)</w:t>
      </w:r>
      <w:r w:rsidR="00FD47A7">
        <w:t xml:space="preserve"> на 01.01.2018 наблюдается незначительное увеличение численности – 1631 чел. (103,9% к 2016 году)</w:t>
      </w:r>
      <w:r w:rsidR="00F95325">
        <w:t>, на 01.10.2018 г. – 1638 чел. (</w:t>
      </w:r>
      <w:r w:rsidR="00155C89">
        <w:t xml:space="preserve">93,7% к </w:t>
      </w:r>
      <w:r w:rsidR="00264FBA">
        <w:t xml:space="preserve">аналогичному периоду </w:t>
      </w:r>
      <w:r w:rsidR="00155C89">
        <w:t>2017 года)</w:t>
      </w:r>
      <w:r w:rsidRPr="001566BA">
        <w:t>;</w:t>
      </w:r>
      <w:proofErr w:type="gramEnd"/>
      <w:r w:rsidRPr="001566BA">
        <w:t xml:space="preserve"> </w:t>
      </w:r>
      <w:proofErr w:type="gramStart"/>
      <w:r w:rsidRPr="001566BA">
        <w:t xml:space="preserve">средняя заработная плата: </w:t>
      </w:r>
      <w:bookmarkStart w:id="0" w:name="_GoBack"/>
      <w:bookmarkEnd w:id="0"/>
      <w:r w:rsidR="00FD1C01" w:rsidRPr="001566BA">
        <w:t>на 01.01.2014 г. – 17</w:t>
      </w:r>
      <w:r w:rsidR="008A461C" w:rsidRPr="001566BA">
        <w:t xml:space="preserve"> </w:t>
      </w:r>
      <w:r w:rsidR="00FD1C01" w:rsidRPr="001566BA">
        <w:t>644 руб. (98 % к 2012 году), на 01.</w:t>
      </w:r>
      <w:r w:rsidR="002E0F2F" w:rsidRPr="001566BA">
        <w:t>01</w:t>
      </w:r>
      <w:r w:rsidR="00FD1C01" w:rsidRPr="001566BA">
        <w:t>.201</w:t>
      </w:r>
      <w:r w:rsidR="002E0F2F" w:rsidRPr="001566BA">
        <w:t>5</w:t>
      </w:r>
      <w:r w:rsidR="00FD1C01" w:rsidRPr="001566BA">
        <w:t xml:space="preserve"> г. – </w:t>
      </w:r>
      <w:r w:rsidR="002E0F2F" w:rsidRPr="001566BA">
        <w:t>18 562</w:t>
      </w:r>
      <w:r w:rsidR="00FD1C01" w:rsidRPr="001566BA">
        <w:t xml:space="preserve"> руб. (</w:t>
      </w:r>
      <w:r w:rsidR="004D5244" w:rsidRPr="001566BA">
        <w:t>105,2</w:t>
      </w:r>
      <w:r w:rsidR="00FD1C01" w:rsidRPr="001566BA">
        <w:t xml:space="preserve"> % к 201</w:t>
      </w:r>
      <w:r w:rsidR="004D5244" w:rsidRPr="001566BA">
        <w:t>3</w:t>
      </w:r>
      <w:r w:rsidR="00FD1C01" w:rsidRPr="001566BA">
        <w:t xml:space="preserve"> году)</w:t>
      </w:r>
      <w:r w:rsidR="002E0F2F" w:rsidRPr="001566BA">
        <w:t>, на 01.</w:t>
      </w:r>
      <w:r w:rsidR="004D5244" w:rsidRPr="001566BA">
        <w:t>01</w:t>
      </w:r>
      <w:r w:rsidR="002E0F2F" w:rsidRPr="001566BA">
        <w:t>.201</w:t>
      </w:r>
      <w:r w:rsidR="004D5244" w:rsidRPr="001566BA">
        <w:t>6</w:t>
      </w:r>
      <w:r w:rsidR="002E0F2F" w:rsidRPr="001566BA">
        <w:t xml:space="preserve"> г. – </w:t>
      </w:r>
      <w:r w:rsidR="004D5244" w:rsidRPr="001566BA">
        <w:t>22 000</w:t>
      </w:r>
      <w:r w:rsidR="002E0F2F" w:rsidRPr="001566BA">
        <w:t xml:space="preserve"> руб. (</w:t>
      </w:r>
      <w:r w:rsidR="004D5244" w:rsidRPr="001566BA">
        <w:t>118,5</w:t>
      </w:r>
      <w:r w:rsidR="002E0F2F" w:rsidRPr="001566BA">
        <w:t xml:space="preserve"> % к 201</w:t>
      </w:r>
      <w:r w:rsidR="004D5244" w:rsidRPr="001566BA">
        <w:t>4</w:t>
      </w:r>
      <w:r w:rsidR="002E0F2F" w:rsidRPr="001566BA">
        <w:t xml:space="preserve"> году)</w:t>
      </w:r>
      <w:r w:rsidR="004D5244" w:rsidRPr="001566BA">
        <w:t>, на 01.01.2017 г. – 26 732 руб. (121,5 % к 2015 году)</w:t>
      </w:r>
      <w:r w:rsidR="00EF1341">
        <w:t xml:space="preserve">, </w:t>
      </w:r>
      <w:r w:rsidR="00EF1341" w:rsidRPr="001566BA">
        <w:t>на 01.</w:t>
      </w:r>
      <w:r w:rsidR="00FD47A7">
        <w:t>01</w:t>
      </w:r>
      <w:r w:rsidR="00EF1341" w:rsidRPr="001566BA">
        <w:t>.201</w:t>
      </w:r>
      <w:r w:rsidR="00FD47A7">
        <w:t>8</w:t>
      </w:r>
      <w:r w:rsidR="00EF1341" w:rsidRPr="001566BA">
        <w:t xml:space="preserve"> г. – </w:t>
      </w:r>
      <w:r w:rsidR="00FD47A7">
        <w:t>28 442,8</w:t>
      </w:r>
      <w:r w:rsidR="00EF1341" w:rsidRPr="001566BA">
        <w:t xml:space="preserve"> руб. (</w:t>
      </w:r>
      <w:r w:rsidR="00EF1341">
        <w:t>10</w:t>
      </w:r>
      <w:r w:rsidR="00FD47A7">
        <w:t>6,4</w:t>
      </w:r>
      <w:r w:rsidR="00EF1341" w:rsidRPr="001566BA">
        <w:t xml:space="preserve"> % к 201</w:t>
      </w:r>
      <w:r w:rsidR="00EF1341">
        <w:t>6</w:t>
      </w:r>
      <w:r w:rsidR="00EF1341" w:rsidRPr="001566BA">
        <w:t xml:space="preserve"> год</w:t>
      </w:r>
      <w:r w:rsidR="00EF1341">
        <w:t>а</w:t>
      </w:r>
      <w:r w:rsidR="00EF1341" w:rsidRPr="001566BA">
        <w:t>)</w:t>
      </w:r>
      <w:r w:rsidR="00F95325">
        <w:t>, на 01.10.2018 г</w:t>
      </w:r>
      <w:r w:rsidR="008A461C" w:rsidRPr="001566BA">
        <w:t>.</w:t>
      </w:r>
      <w:r w:rsidR="00F95325">
        <w:t xml:space="preserve"> </w:t>
      </w:r>
      <w:r w:rsidR="00155C89">
        <w:t>–</w:t>
      </w:r>
      <w:r w:rsidR="00F95325">
        <w:t xml:space="preserve"> </w:t>
      </w:r>
      <w:r w:rsidR="003935F6" w:rsidRPr="003935F6">
        <w:t>27199</w:t>
      </w:r>
      <w:r w:rsidR="00264FBA" w:rsidRPr="003935F6">
        <w:t xml:space="preserve"> руб.</w:t>
      </w:r>
      <w:r w:rsidR="00155C89" w:rsidRPr="003935F6">
        <w:t xml:space="preserve"> </w:t>
      </w:r>
      <w:r w:rsidR="00155C89" w:rsidRPr="00CB32DD">
        <w:t>(94,9% к</w:t>
      </w:r>
      <w:proofErr w:type="gramEnd"/>
      <w:r w:rsidR="00155C89" w:rsidRPr="00CB32DD">
        <w:t xml:space="preserve"> аналогичному периоду 2017 года</w:t>
      </w:r>
      <w:r w:rsidR="00264FBA" w:rsidRPr="00CB32DD">
        <w:t>).</w:t>
      </w:r>
      <w:r w:rsidR="006C7B61" w:rsidRPr="001566BA">
        <w:t xml:space="preserve"> </w:t>
      </w:r>
    </w:p>
    <w:p w:rsidR="003255A4" w:rsidRPr="001566BA" w:rsidRDefault="00EF1341" w:rsidP="003255A4">
      <w:pPr>
        <w:pStyle w:val="a8"/>
        <w:spacing w:line="276" w:lineRule="auto"/>
        <w:ind w:firstLine="567"/>
        <w:rPr>
          <w:lang w:eastAsia="ru-RU"/>
        </w:rPr>
      </w:pPr>
      <w:r>
        <w:rPr>
          <w:color w:val="auto"/>
        </w:rPr>
        <w:t>П</w:t>
      </w:r>
      <w:r w:rsidR="003255A4" w:rsidRPr="001566BA">
        <w:rPr>
          <w:color w:val="auto"/>
        </w:rPr>
        <w:t xml:space="preserve">АО «Тутаевский моторный завод» - в прошлом градообразующее предприятие и сегодня остается самым крупным предприятием города. </w:t>
      </w:r>
      <w:r w:rsidR="00264FBA">
        <w:rPr>
          <w:color w:val="auto"/>
        </w:rPr>
        <w:t>На 01.10.</w:t>
      </w:r>
      <w:r w:rsidR="003255A4" w:rsidRPr="001566BA">
        <w:rPr>
          <w:color w:val="auto"/>
        </w:rPr>
        <w:t>201</w:t>
      </w:r>
      <w:r w:rsidR="00264FBA">
        <w:rPr>
          <w:color w:val="auto"/>
        </w:rPr>
        <w:t>8</w:t>
      </w:r>
      <w:r w:rsidR="003255A4" w:rsidRPr="001566BA">
        <w:rPr>
          <w:color w:val="auto"/>
        </w:rPr>
        <w:t xml:space="preserve"> года объем производства на предприятии составил </w:t>
      </w:r>
      <w:r w:rsidR="00264FBA">
        <w:rPr>
          <w:color w:val="auto"/>
        </w:rPr>
        <w:t>2 127</w:t>
      </w:r>
      <w:r w:rsidR="00FD5941">
        <w:rPr>
          <w:color w:val="auto"/>
        </w:rPr>
        <w:t>,</w:t>
      </w:r>
      <w:r w:rsidR="00264FBA">
        <w:rPr>
          <w:color w:val="auto"/>
        </w:rPr>
        <w:t>71</w:t>
      </w:r>
      <w:r w:rsidR="003255A4" w:rsidRPr="001566BA">
        <w:rPr>
          <w:color w:val="auto"/>
        </w:rPr>
        <w:t xml:space="preserve"> млн. руб.</w:t>
      </w:r>
      <w:r>
        <w:rPr>
          <w:color w:val="auto"/>
        </w:rPr>
        <w:t xml:space="preserve"> </w:t>
      </w:r>
      <w:r w:rsidR="003255A4" w:rsidRPr="001566BA">
        <w:rPr>
          <w:color w:val="auto"/>
        </w:rPr>
        <w:t>(</w:t>
      </w:r>
      <w:r w:rsidR="00D86D00">
        <w:rPr>
          <w:color w:val="auto"/>
        </w:rPr>
        <w:t xml:space="preserve">89,6 </w:t>
      </w:r>
      <w:r w:rsidR="003255A4" w:rsidRPr="001566BA">
        <w:rPr>
          <w:color w:val="auto"/>
        </w:rPr>
        <w:t xml:space="preserve">% </w:t>
      </w:r>
      <w:r w:rsidR="00FA16F9">
        <w:rPr>
          <w:color w:val="auto"/>
        </w:rPr>
        <w:t>к</w:t>
      </w:r>
      <w:r w:rsidR="00D86D00">
        <w:rPr>
          <w:color w:val="auto"/>
        </w:rPr>
        <w:t xml:space="preserve"> аналогичн</w:t>
      </w:r>
      <w:r w:rsidR="00FA16F9">
        <w:rPr>
          <w:color w:val="auto"/>
        </w:rPr>
        <w:t>ому</w:t>
      </w:r>
      <w:r w:rsidR="00D86D00">
        <w:rPr>
          <w:color w:val="auto"/>
        </w:rPr>
        <w:t xml:space="preserve"> период</w:t>
      </w:r>
      <w:r w:rsidR="00FA16F9">
        <w:rPr>
          <w:color w:val="auto"/>
        </w:rPr>
        <w:t>у</w:t>
      </w:r>
      <w:r w:rsidR="00D86D00">
        <w:rPr>
          <w:color w:val="auto"/>
        </w:rPr>
        <w:t xml:space="preserve"> </w:t>
      </w:r>
      <w:r w:rsidR="003255A4" w:rsidRPr="001566BA">
        <w:rPr>
          <w:color w:val="auto"/>
        </w:rPr>
        <w:t>201</w:t>
      </w:r>
      <w:r w:rsidR="00D86D00">
        <w:rPr>
          <w:color w:val="auto"/>
        </w:rPr>
        <w:t>7 года</w:t>
      </w:r>
      <w:r w:rsidR="003255A4" w:rsidRPr="001566BA">
        <w:rPr>
          <w:color w:val="auto"/>
        </w:rPr>
        <w:t>)</w:t>
      </w:r>
      <w:r w:rsidR="00FA16F9">
        <w:rPr>
          <w:color w:val="auto"/>
        </w:rPr>
        <w:t>, что на 221,28 млн. руб. меньше</w:t>
      </w:r>
      <w:r w:rsidR="00C4408E">
        <w:rPr>
          <w:color w:val="auto"/>
        </w:rPr>
        <w:t xml:space="preserve"> чем аналогичного периода 2017 года</w:t>
      </w:r>
      <w:r w:rsidR="003255A4" w:rsidRPr="001566BA">
        <w:rPr>
          <w:color w:val="auto"/>
        </w:rPr>
        <w:t>.  Налоговые отчисления Тутаевского моторного завода составляют значительную часть</w:t>
      </w:r>
      <w:r w:rsidR="003255A4" w:rsidRPr="001566BA">
        <w:rPr>
          <w:lang w:eastAsia="ru-RU"/>
        </w:rPr>
        <w:t xml:space="preserve"> доходов консолидированного бюджета ТМР.</w:t>
      </w:r>
    </w:p>
    <w:p w:rsidR="003255A4" w:rsidRPr="001566BA" w:rsidRDefault="003255A4" w:rsidP="003255A4">
      <w:pPr>
        <w:pStyle w:val="a8"/>
        <w:spacing w:line="276" w:lineRule="auto"/>
        <w:rPr>
          <w:color w:val="auto"/>
        </w:rPr>
      </w:pPr>
      <w:r w:rsidRPr="001566BA">
        <w:rPr>
          <w:color w:val="auto"/>
        </w:rPr>
        <w:t xml:space="preserve">Сегодня </w:t>
      </w:r>
      <w:proofErr w:type="spellStart"/>
      <w:r w:rsidRPr="001566BA">
        <w:rPr>
          <w:color w:val="auto"/>
        </w:rPr>
        <w:t>Тутаевским</w:t>
      </w:r>
      <w:proofErr w:type="spellEnd"/>
      <w:r w:rsidRPr="001566BA">
        <w:rPr>
          <w:color w:val="auto"/>
        </w:rPr>
        <w:t xml:space="preserve"> моторным заводом разработана и реализуется программа стратегического развития на период до 2020 года. </w:t>
      </w:r>
    </w:p>
    <w:p w:rsidR="003255A4" w:rsidRPr="001566BA" w:rsidRDefault="003255A4" w:rsidP="008A461C">
      <w:pPr>
        <w:ind w:firstLine="709"/>
        <w:jc w:val="both"/>
      </w:pPr>
    </w:p>
    <w:p w:rsidR="00BA37DB" w:rsidRPr="001566BA" w:rsidRDefault="00BA37DB" w:rsidP="008A461C">
      <w:pPr>
        <w:ind w:firstLine="709"/>
        <w:jc w:val="both"/>
      </w:pPr>
    </w:p>
    <w:p w:rsidR="00BA37DB" w:rsidRPr="001566BA" w:rsidRDefault="00BA37DB" w:rsidP="008A461C">
      <w:pPr>
        <w:ind w:firstLine="709"/>
        <w:jc w:val="both"/>
      </w:pPr>
    </w:p>
    <w:p w:rsidR="00B15D22" w:rsidRPr="001566BA" w:rsidRDefault="008A461C" w:rsidP="005732CF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6BA">
        <w:rPr>
          <w:rFonts w:ascii="Times New Roman" w:hAnsi="Times New Roman" w:cs="Times New Roman"/>
          <w:b/>
          <w:sz w:val="24"/>
          <w:szCs w:val="24"/>
        </w:rPr>
        <w:t xml:space="preserve">Общая оценка </w:t>
      </w:r>
      <w:r w:rsidR="00B15D22" w:rsidRPr="001566BA">
        <w:rPr>
          <w:rFonts w:ascii="Times New Roman" w:hAnsi="Times New Roman" w:cs="Times New Roman"/>
          <w:b/>
          <w:sz w:val="24"/>
          <w:szCs w:val="24"/>
        </w:rPr>
        <w:t xml:space="preserve">органами власти субъекта Российской Федерации состояния </w:t>
      </w:r>
      <w:r w:rsidRPr="001566BA">
        <w:rPr>
          <w:rFonts w:ascii="Times New Roman" w:hAnsi="Times New Roman" w:cs="Times New Roman"/>
          <w:b/>
          <w:sz w:val="24"/>
          <w:szCs w:val="24"/>
        </w:rPr>
        <w:t xml:space="preserve">экономики и социальной сферы </w:t>
      </w:r>
      <w:r w:rsidR="00B15D22" w:rsidRPr="001566BA">
        <w:rPr>
          <w:rFonts w:ascii="Times New Roman" w:hAnsi="Times New Roman" w:cs="Times New Roman"/>
          <w:b/>
          <w:sz w:val="24"/>
          <w:szCs w:val="24"/>
        </w:rPr>
        <w:t>моно</w:t>
      </w:r>
      <w:r w:rsidRPr="001566BA">
        <w:rPr>
          <w:rFonts w:ascii="Times New Roman" w:hAnsi="Times New Roman" w:cs="Times New Roman"/>
          <w:b/>
          <w:sz w:val="24"/>
          <w:szCs w:val="24"/>
        </w:rPr>
        <w:t>города</w:t>
      </w:r>
      <w:r w:rsidR="00B15D22" w:rsidRPr="001566BA">
        <w:rPr>
          <w:rFonts w:ascii="Times New Roman" w:hAnsi="Times New Roman" w:cs="Times New Roman"/>
          <w:b/>
          <w:sz w:val="24"/>
          <w:szCs w:val="24"/>
        </w:rPr>
        <w:t xml:space="preserve"> и основные ожидаемые тенденции его развития, в том числе с учетом деятельности градообразующей организации.</w:t>
      </w:r>
    </w:p>
    <w:p w:rsidR="005732CF" w:rsidRPr="001566BA" w:rsidRDefault="005732CF" w:rsidP="005732CF">
      <w:pPr>
        <w:pStyle w:val="a3"/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03B12" w:rsidRDefault="00D03B12" w:rsidP="00B26441">
      <w:pPr>
        <w:pStyle w:val="a3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A341D2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Основными ориентирами социально-экономического развития городского поселения Тутаев является создание основ стабилизации и развития экономики города и агропромышленного комплекса, повышение инвестиционной привлекательности, развитие городской инфраструктуры, увеличение доходной части бюджет</w:t>
      </w:r>
      <w:r w:rsidR="00910F13" w:rsidRPr="00A341D2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а</w:t>
      </w:r>
      <w:r w:rsidRPr="00A341D2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, повышение эффективности использования муниципального имущества и земли, повышение благосостояния населения.</w:t>
      </w:r>
    </w:p>
    <w:p w:rsidR="00910F13" w:rsidRPr="001566BA" w:rsidRDefault="00BF3D6E" w:rsidP="00B2644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6BA">
        <w:rPr>
          <w:rFonts w:ascii="Times New Roman" w:hAnsi="Times New Roman" w:cs="Times New Roman"/>
          <w:sz w:val="24"/>
          <w:szCs w:val="24"/>
        </w:rPr>
        <w:lastRenderedPageBreak/>
        <w:t>Отмечается тенденция сокращения числа малых предприяти</w:t>
      </w:r>
      <w:r w:rsidR="00FA16F9">
        <w:rPr>
          <w:rFonts w:ascii="Times New Roman" w:hAnsi="Times New Roman" w:cs="Times New Roman"/>
          <w:sz w:val="24"/>
          <w:szCs w:val="24"/>
        </w:rPr>
        <w:t>й на территории горо</w:t>
      </w:r>
      <w:r w:rsidR="00C4408E">
        <w:rPr>
          <w:rFonts w:ascii="Times New Roman" w:hAnsi="Times New Roman" w:cs="Times New Roman"/>
          <w:sz w:val="24"/>
          <w:szCs w:val="24"/>
        </w:rPr>
        <w:t>да Тутаева, но увеличение микро предприятий</w:t>
      </w:r>
      <w:r w:rsidR="00546747">
        <w:rPr>
          <w:rFonts w:ascii="Times New Roman" w:hAnsi="Times New Roman" w:cs="Times New Roman"/>
          <w:sz w:val="24"/>
          <w:szCs w:val="24"/>
        </w:rPr>
        <w:t xml:space="preserve"> (на 01.10.2018 их число составило 487 единиц).</w:t>
      </w:r>
    </w:p>
    <w:p w:rsidR="008530CB" w:rsidRPr="001566BA" w:rsidRDefault="00084B40" w:rsidP="008B0F4A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66BA">
        <w:rPr>
          <w:rFonts w:ascii="Times New Roman" w:hAnsi="Times New Roman" w:cs="Times New Roman"/>
          <w:sz w:val="24"/>
          <w:szCs w:val="24"/>
        </w:rPr>
        <w:t xml:space="preserve"> </w:t>
      </w:r>
      <w:r w:rsidR="00B26441">
        <w:rPr>
          <w:rFonts w:ascii="Times New Roman" w:hAnsi="Times New Roman" w:cs="Times New Roman"/>
          <w:sz w:val="24"/>
          <w:szCs w:val="24"/>
        </w:rPr>
        <w:tab/>
      </w:r>
      <w:r w:rsidR="00910F13" w:rsidRPr="001566BA">
        <w:rPr>
          <w:rFonts w:ascii="Times New Roman" w:hAnsi="Times New Roman" w:cs="Times New Roman"/>
          <w:sz w:val="24"/>
          <w:szCs w:val="24"/>
        </w:rPr>
        <w:t>В</w:t>
      </w:r>
      <w:r w:rsidR="00E97325" w:rsidRPr="001566BA">
        <w:rPr>
          <w:rFonts w:ascii="Times New Roman" w:hAnsi="Times New Roman" w:cs="Times New Roman"/>
          <w:sz w:val="24"/>
          <w:szCs w:val="24"/>
        </w:rPr>
        <w:t xml:space="preserve"> </w:t>
      </w:r>
      <w:r w:rsidR="008530CB" w:rsidRPr="001566BA">
        <w:rPr>
          <w:rFonts w:ascii="Times New Roman" w:hAnsi="Times New Roman" w:cs="Times New Roman"/>
          <w:sz w:val="24"/>
          <w:szCs w:val="24"/>
        </w:rPr>
        <w:t>городском поселении Тутаев</w:t>
      </w:r>
      <w:r w:rsidR="00E97325" w:rsidRPr="001566BA">
        <w:rPr>
          <w:rFonts w:ascii="Times New Roman" w:hAnsi="Times New Roman" w:cs="Times New Roman"/>
          <w:sz w:val="24"/>
          <w:szCs w:val="24"/>
        </w:rPr>
        <w:t xml:space="preserve"> </w:t>
      </w:r>
      <w:r w:rsidR="00910F13" w:rsidRPr="001566BA">
        <w:rPr>
          <w:rFonts w:ascii="Times New Roman" w:hAnsi="Times New Roman" w:cs="Times New Roman"/>
          <w:sz w:val="24"/>
          <w:szCs w:val="24"/>
        </w:rPr>
        <w:t>реализуются программы</w:t>
      </w:r>
      <w:r w:rsidR="00E97325" w:rsidRPr="001566BA">
        <w:rPr>
          <w:rFonts w:ascii="Times New Roman" w:hAnsi="Times New Roman" w:cs="Times New Roman"/>
          <w:sz w:val="24"/>
          <w:szCs w:val="24"/>
        </w:rPr>
        <w:t>, направленны</w:t>
      </w:r>
      <w:r w:rsidR="00910F13" w:rsidRPr="001566BA">
        <w:rPr>
          <w:rFonts w:ascii="Times New Roman" w:hAnsi="Times New Roman" w:cs="Times New Roman"/>
          <w:sz w:val="24"/>
          <w:szCs w:val="24"/>
        </w:rPr>
        <w:t>е</w:t>
      </w:r>
      <w:r w:rsidR="00E97325" w:rsidRPr="001566BA">
        <w:rPr>
          <w:rFonts w:ascii="Times New Roman" w:hAnsi="Times New Roman" w:cs="Times New Roman"/>
          <w:sz w:val="24"/>
          <w:szCs w:val="24"/>
        </w:rPr>
        <w:t xml:space="preserve"> на улучшение жизни населения города, а именно: </w:t>
      </w:r>
    </w:p>
    <w:p w:rsidR="008B0F4A" w:rsidRPr="001566BA" w:rsidRDefault="00E97325" w:rsidP="008B0F4A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66BA">
        <w:rPr>
          <w:rFonts w:ascii="Times New Roman" w:hAnsi="Times New Roman" w:cs="Times New Roman"/>
          <w:sz w:val="24"/>
          <w:szCs w:val="24"/>
        </w:rPr>
        <w:t>-</w:t>
      </w:r>
      <w:r w:rsidR="004D74B1" w:rsidRPr="001566BA">
        <w:rPr>
          <w:rFonts w:ascii="Times New Roman" w:hAnsi="Times New Roman" w:cs="Times New Roman"/>
          <w:sz w:val="24"/>
          <w:szCs w:val="24"/>
        </w:rPr>
        <w:t xml:space="preserve"> Комплексная программа</w:t>
      </w:r>
      <w:r w:rsidR="005B4988">
        <w:rPr>
          <w:rFonts w:ascii="Times New Roman" w:hAnsi="Times New Roman" w:cs="Times New Roman"/>
          <w:sz w:val="24"/>
          <w:szCs w:val="24"/>
        </w:rPr>
        <w:t xml:space="preserve"> модернизации и реформирования жилищно-коммунального хозяйства</w:t>
      </w:r>
      <w:r w:rsidR="004D74B1" w:rsidRPr="001566BA">
        <w:rPr>
          <w:rFonts w:ascii="Times New Roman" w:hAnsi="Times New Roman" w:cs="Times New Roman"/>
          <w:sz w:val="24"/>
          <w:szCs w:val="24"/>
        </w:rPr>
        <w:t xml:space="preserve"> городского поселения Тутаев на 201</w:t>
      </w:r>
      <w:r w:rsidR="005B4988">
        <w:rPr>
          <w:rFonts w:ascii="Times New Roman" w:hAnsi="Times New Roman" w:cs="Times New Roman"/>
          <w:sz w:val="24"/>
          <w:szCs w:val="24"/>
        </w:rPr>
        <w:t>8-2020</w:t>
      </w:r>
      <w:r w:rsidR="004D74B1" w:rsidRPr="001566BA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D247E9" w:rsidRDefault="00D247E9" w:rsidP="008B0F4A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лифтового хозяйства в городском поселении Тутаев на 2015-20</w:t>
      </w:r>
      <w:r w:rsidR="005B498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годы;</w:t>
      </w:r>
    </w:p>
    <w:p w:rsidR="00D247E9" w:rsidRDefault="00D247E9" w:rsidP="008B0F4A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Ремонт и содержание жилищного фонда городского поселения Тутаев на </w:t>
      </w:r>
      <w:r w:rsidR="005B4988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D247E9" w:rsidRDefault="00D247E9" w:rsidP="008B0F4A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Предоставление молодым семьям социальных выплат на приобретение (строительство) жилья;</w:t>
      </w:r>
    </w:p>
    <w:p w:rsidR="00D247E9" w:rsidRDefault="00D247E9" w:rsidP="008B0F4A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Поддержка граждан, проживающих на территории городского поселения Тутаев Тутаевского муниципального района Ярославской области, в сфере ипотечного жилищного кредитования на 201</w:t>
      </w:r>
      <w:r w:rsidR="005B498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D247E9" w:rsidRDefault="00D247E9" w:rsidP="008B0F4A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4988">
        <w:rPr>
          <w:rFonts w:ascii="Times New Roman" w:hAnsi="Times New Roman" w:cs="Times New Roman"/>
          <w:sz w:val="24"/>
          <w:szCs w:val="24"/>
        </w:rPr>
        <w:t>Развитие и содержание дорожного хозяйства на территории городского поселения Тутаев на 2018-2020 годы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247E9" w:rsidRPr="001566BA" w:rsidRDefault="00D247E9" w:rsidP="008B0F4A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Благоустройство и озеленение территории городского поселения Тутаев на 20</w:t>
      </w:r>
      <w:r w:rsidR="005B4988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5B498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годы; </w:t>
      </w:r>
    </w:p>
    <w:p w:rsidR="008B0F4A" w:rsidRPr="001566BA" w:rsidRDefault="00E97325" w:rsidP="008B0F4A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566BA">
        <w:rPr>
          <w:rFonts w:ascii="Times New Roman" w:hAnsi="Times New Roman" w:cs="Times New Roman"/>
          <w:sz w:val="24"/>
          <w:szCs w:val="24"/>
        </w:rPr>
        <w:t xml:space="preserve"> -</w:t>
      </w:r>
      <w:r w:rsidR="002109BA" w:rsidRPr="001566BA">
        <w:rPr>
          <w:rFonts w:ascii="Times New Roman" w:hAnsi="Times New Roman" w:cs="Times New Roman"/>
          <w:sz w:val="24"/>
          <w:szCs w:val="24"/>
        </w:rPr>
        <w:t xml:space="preserve"> </w:t>
      </w:r>
      <w:r w:rsidR="004D74B1" w:rsidRPr="001566BA">
        <w:rPr>
          <w:rFonts w:ascii="Times New Roman" w:hAnsi="Times New Roman" w:cs="Times New Roman"/>
          <w:sz w:val="24"/>
          <w:szCs w:val="24"/>
        </w:rPr>
        <w:t>Содержание, текущий и капитальный ремонт сетей уличного освещения на территории городского поселения Тутаев на 20</w:t>
      </w:r>
      <w:r w:rsidR="005B4988">
        <w:rPr>
          <w:rFonts w:ascii="Times New Roman" w:hAnsi="Times New Roman" w:cs="Times New Roman"/>
          <w:sz w:val="24"/>
          <w:szCs w:val="24"/>
        </w:rPr>
        <w:t>18</w:t>
      </w:r>
      <w:r w:rsidR="004D74B1" w:rsidRPr="001566BA">
        <w:rPr>
          <w:rFonts w:ascii="Times New Roman" w:hAnsi="Times New Roman" w:cs="Times New Roman"/>
          <w:sz w:val="24"/>
          <w:szCs w:val="24"/>
        </w:rPr>
        <w:t>-20</w:t>
      </w:r>
      <w:r w:rsidR="00E9462E">
        <w:rPr>
          <w:rFonts w:ascii="Times New Roman" w:hAnsi="Times New Roman" w:cs="Times New Roman"/>
          <w:sz w:val="24"/>
          <w:szCs w:val="24"/>
        </w:rPr>
        <w:t>20 годы.</w:t>
      </w:r>
    </w:p>
    <w:p w:rsidR="00C809D2" w:rsidRDefault="00C809D2" w:rsidP="00E7344F">
      <w:pPr>
        <w:pStyle w:val="a8"/>
        <w:spacing w:line="240" w:lineRule="auto"/>
      </w:pPr>
    </w:p>
    <w:p w:rsidR="00D96675" w:rsidRPr="001566BA" w:rsidRDefault="00D96675" w:rsidP="00E7344F">
      <w:pPr>
        <w:pStyle w:val="a8"/>
        <w:spacing w:line="240" w:lineRule="auto"/>
      </w:pPr>
    </w:p>
    <w:p w:rsidR="007E60F0" w:rsidRPr="001566BA" w:rsidRDefault="007E60F0" w:rsidP="007E60F0">
      <w:pPr>
        <w:pStyle w:val="a8"/>
        <w:numPr>
          <w:ilvl w:val="0"/>
          <w:numId w:val="1"/>
        </w:numPr>
        <w:spacing w:line="240" w:lineRule="auto"/>
        <w:jc w:val="center"/>
        <w:rPr>
          <w:b/>
        </w:rPr>
      </w:pPr>
      <w:r w:rsidRPr="001566BA">
        <w:rPr>
          <w:b/>
        </w:rPr>
        <w:t>Демография</w:t>
      </w:r>
    </w:p>
    <w:p w:rsidR="007E60F0" w:rsidRPr="001566BA" w:rsidRDefault="007E60F0" w:rsidP="007E60F0">
      <w:pPr>
        <w:pStyle w:val="a8"/>
        <w:spacing w:line="240" w:lineRule="auto"/>
        <w:ind w:left="720" w:firstLine="0"/>
      </w:pPr>
    </w:p>
    <w:p w:rsidR="001D4FE3" w:rsidRPr="001566BA" w:rsidRDefault="001D4FE3" w:rsidP="001D4FE3">
      <w:pPr>
        <w:spacing w:before="40" w:after="40"/>
        <w:ind w:firstLine="851"/>
        <w:jc w:val="both"/>
        <w:rPr>
          <w:color w:val="000000"/>
        </w:rPr>
      </w:pPr>
      <w:r w:rsidRPr="001566BA">
        <w:rPr>
          <w:color w:val="000000"/>
        </w:rPr>
        <w:t>В городе Тутаеве за январь-</w:t>
      </w:r>
      <w:r w:rsidR="00EB5CE5">
        <w:rPr>
          <w:color w:val="000000"/>
        </w:rPr>
        <w:t>июнь</w:t>
      </w:r>
      <w:r w:rsidRPr="001566BA">
        <w:rPr>
          <w:color w:val="000000"/>
        </w:rPr>
        <w:t xml:space="preserve"> </w:t>
      </w:r>
      <w:r w:rsidR="00F81670">
        <w:rPr>
          <w:color w:val="000000"/>
        </w:rPr>
        <w:t>201</w:t>
      </w:r>
      <w:r w:rsidR="00EB5CE5">
        <w:rPr>
          <w:color w:val="000000"/>
        </w:rPr>
        <w:t>8</w:t>
      </w:r>
      <w:r w:rsidR="00F81670">
        <w:rPr>
          <w:color w:val="000000"/>
        </w:rPr>
        <w:t xml:space="preserve"> </w:t>
      </w:r>
      <w:r w:rsidRPr="001566BA">
        <w:rPr>
          <w:color w:val="000000"/>
        </w:rPr>
        <w:t xml:space="preserve">года родилось </w:t>
      </w:r>
      <w:r w:rsidR="00EB5CE5">
        <w:rPr>
          <w:color w:val="000000"/>
        </w:rPr>
        <w:t>2</w:t>
      </w:r>
      <w:r w:rsidR="007907EC">
        <w:rPr>
          <w:color w:val="000000"/>
        </w:rPr>
        <w:t>20</w:t>
      </w:r>
      <w:r w:rsidRPr="001566BA">
        <w:rPr>
          <w:color w:val="000000"/>
        </w:rPr>
        <w:t xml:space="preserve"> детей, что на </w:t>
      </w:r>
      <w:r w:rsidR="00EB5CE5">
        <w:rPr>
          <w:color w:val="000000"/>
        </w:rPr>
        <w:t>2</w:t>
      </w:r>
      <w:r w:rsidR="007907EC">
        <w:rPr>
          <w:color w:val="000000"/>
        </w:rPr>
        <w:t>5</w:t>
      </w:r>
      <w:r w:rsidR="0074257B">
        <w:rPr>
          <w:color w:val="000000"/>
        </w:rPr>
        <w:t xml:space="preserve"> </w:t>
      </w:r>
      <w:r w:rsidR="00AF3AD2">
        <w:rPr>
          <w:color w:val="000000"/>
        </w:rPr>
        <w:t>детей</w:t>
      </w:r>
      <w:r w:rsidRPr="001566BA">
        <w:rPr>
          <w:color w:val="000000"/>
        </w:rPr>
        <w:t xml:space="preserve"> </w:t>
      </w:r>
      <w:r w:rsidR="004441CC">
        <w:rPr>
          <w:color w:val="000000"/>
        </w:rPr>
        <w:t>м</w:t>
      </w:r>
      <w:r w:rsidR="0074257B">
        <w:rPr>
          <w:color w:val="000000"/>
        </w:rPr>
        <w:t>е</w:t>
      </w:r>
      <w:r w:rsidR="004441CC">
        <w:rPr>
          <w:color w:val="000000"/>
        </w:rPr>
        <w:t>н</w:t>
      </w:r>
      <w:r w:rsidR="0074257B">
        <w:rPr>
          <w:color w:val="000000"/>
        </w:rPr>
        <w:t>ьше</w:t>
      </w:r>
      <w:r w:rsidRPr="001566BA">
        <w:rPr>
          <w:color w:val="000000"/>
        </w:rPr>
        <w:t>, чем в 201</w:t>
      </w:r>
      <w:r w:rsidR="00EB5CE5">
        <w:rPr>
          <w:color w:val="000000"/>
        </w:rPr>
        <w:t>7</w:t>
      </w:r>
      <w:r w:rsidRPr="001566BA">
        <w:rPr>
          <w:color w:val="000000"/>
        </w:rPr>
        <w:t xml:space="preserve"> года, а умерло </w:t>
      </w:r>
      <w:r w:rsidR="00EB5CE5">
        <w:rPr>
          <w:color w:val="000000"/>
        </w:rPr>
        <w:t>2</w:t>
      </w:r>
      <w:r w:rsidR="007907EC">
        <w:rPr>
          <w:color w:val="000000"/>
        </w:rPr>
        <w:t>90</w:t>
      </w:r>
      <w:r w:rsidRPr="001566BA">
        <w:rPr>
          <w:color w:val="000000"/>
        </w:rPr>
        <w:t xml:space="preserve"> человек (в 201</w:t>
      </w:r>
      <w:r w:rsidR="00EB5CE5">
        <w:rPr>
          <w:color w:val="000000"/>
        </w:rPr>
        <w:t>7</w:t>
      </w:r>
      <w:r w:rsidRPr="001566BA">
        <w:rPr>
          <w:color w:val="000000"/>
        </w:rPr>
        <w:t xml:space="preserve"> год</w:t>
      </w:r>
      <w:r w:rsidR="004441CC">
        <w:rPr>
          <w:color w:val="000000"/>
        </w:rPr>
        <w:t>у</w:t>
      </w:r>
      <w:r w:rsidRPr="001566BA">
        <w:rPr>
          <w:color w:val="000000"/>
        </w:rPr>
        <w:t xml:space="preserve"> – </w:t>
      </w:r>
      <w:r w:rsidR="00EB5CE5">
        <w:rPr>
          <w:color w:val="000000"/>
        </w:rPr>
        <w:t>2</w:t>
      </w:r>
      <w:r w:rsidR="007907EC">
        <w:rPr>
          <w:color w:val="000000"/>
        </w:rPr>
        <w:t>89</w:t>
      </w:r>
      <w:r w:rsidRPr="001566BA">
        <w:rPr>
          <w:color w:val="000000"/>
        </w:rPr>
        <w:t xml:space="preserve"> человек). Естественн</w:t>
      </w:r>
      <w:r w:rsidR="0074257B">
        <w:rPr>
          <w:color w:val="000000"/>
        </w:rPr>
        <w:t>ая</w:t>
      </w:r>
      <w:r w:rsidR="00A349CE" w:rsidRPr="001566BA">
        <w:rPr>
          <w:color w:val="000000"/>
        </w:rPr>
        <w:t xml:space="preserve"> </w:t>
      </w:r>
      <w:r w:rsidR="0074257B">
        <w:rPr>
          <w:color w:val="000000"/>
        </w:rPr>
        <w:t>убыль</w:t>
      </w:r>
      <w:r w:rsidRPr="001566BA">
        <w:rPr>
          <w:color w:val="000000"/>
        </w:rPr>
        <w:t xml:space="preserve"> населения Тутаева в 201</w:t>
      </w:r>
      <w:r w:rsidR="00A349CE" w:rsidRPr="001566BA">
        <w:rPr>
          <w:color w:val="000000"/>
        </w:rPr>
        <w:t>7</w:t>
      </w:r>
      <w:r w:rsidRPr="001566BA">
        <w:rPr>
          <w:color w:val="000000"/>
        </w:rPr>
        <w:t xml:space="preserve"> год</w:t>
      </w:r>
      <w:r w:rsidR="004441CC">
        <w:rPr>
          <w:color w:val="000000"/>
        </w:rPr>
        <w:t>у</w:t>
      </w:r>
      <w:r w:rsidRPr="001566BA">
        <w:rPr>
          <w:color w:val="000000"/>
        </w:rPr>
        <w:t xml:space="preserve"> </w:t>
      </w:r>
      <w:r w:rsidR="0074257B">
        <w:rPr>
          <w:color w:val="000000"/>
        </w:rPr>
        <w:t xml:space="preserve">составила </w:t>
      </w:r>
      <w:r w:rsidR="00EB5CE5">
        <w:rPr>
          <w:color w:val="000000"/>
        </w:rPr>
        <w:t>7</w:t>
      </w:r>
      <w:r w:rsidR="007907EC">
        <w:rPr>
          <w:color w:val="000000"/>
        </w:rPr>
        <w:t>0</w:t>
      </w:r>
      <w:r w:rsidR="0074257B">
        <w:rPr>
          <w:color w:val="000000"/>
        </w:rPr>
        <w:t xml:space="preserve"> человек</w:t>
      </w:r>
      <w:r w:rsidRPr="001566BA">
        <w:rPr>
          <w:color w:val="000000"/>
        </w:rPr>
        <w:t xml:space="preserve">. </w:t>
      </w:r>
    </w:p>
    <w:p w:rsidR="001D4FE3" w:rsidRPr="001566BA" w:rsidRDefault="002F1F72" w:rsidP="001D4FE3">
      <w:pPr>
        <w:spacing w:before="40" w:after="40"/>
        <w:ind w:firstLine="851"/>
        <w:jc w:val="both"/>
        <w:rPr>
          <w:color w:val="000000"/>
        </w:rPr>
      </w:pPr>
      <w:r>
        <w:rPr>
          <w:color w:val="000000"/>
        </w:rPr>
        <w:t>С</w:t>
      </w:r>
      <w:r w:rsidR="001D4FE3" w:rsidRPr="001566BA">
        <w:rPr>
          <w:color w:val="000000"/>
        </w:rPr>
        <w:t>реднесписочная численность населения города в 201</w:t>
      </w:r>
      <w:r w:rsidR="0074257B">
        <w:rPr>
          <w:color w:val="000000"/>
        </w:rPr>
        <w:t>7</w:t>
      </w:r>
      <w:r w:rsidR="001D4FE3" w:rsidRPr="001566BA">
        <w:rPr>
          <w:color w:val="000000"/>
        </w:rPr>
        <w:t xml:space="preserve"> году</w:t>
      </w:r>
      <w:r>
        <w:rPr>
          <w:color w:val="000000"/>
        </w:rPr>
        <w:t xml:space="preserve"> составила</w:t>
      </w:r>
      <w:r w:rsidR="001D4FE3" w:rsidRPr="001566BA">
        <w:rPr>
          <w:color w:val="000000"/>
        </w:rPr>
        <w:t xml:space="preserve"> 40</w:t>
      </w:r>
      <w:r>
        <w:rPr>
          <w:color w:val="000000"/>
        </w:rPr>
        <w:t>294</w:t>
      </w:r>
      <w:r w:rsidR="001D4FE3" w:rsidRPr="001566BA">
        <w:rPr>
          <w:color w:val="000000"/>
        </w:rPr>
        <w:t xml:space="preserve"> человек</w:t>
      </w:r>
      <w:r w:rsidR="00AF3AD2">
        <w:rPr>
          <w:color w:val="000000"/>
        </w:rPr>
        <w:t>а</w:t>
      </w:r>
      <w:r w:rsidR="001D4FE3" w:rsidRPr="001566BA">
        <w:rPr>
          <w:color w:val="000000"/>
        </w:rPr>
        <w:t>.</w:t>
      </w:r>
      <w:r w:rsidR="00FA16F9">
        <w:rPr>
          <w:color w:val="000000"/>
        </w:rPr>
        <w:t xml:space="preserve"> В 2018 году она составит по прогнозным данным – 40230 человек.</w:t>
      </w:r>
      <w:r w:rsidR="001D4FE3" w:rsidRPr="001566BA">
        <w:rPr>
          <w:color w:val="000000"/>
        </w:rPr>
        <w:t xml:space="preserve"> </w:t>
      </w:r>
    </w:p>
    <w:p w:rsidR="001D4FE3" w:rsidRPr="001566BA" w:rsidRDefault="001D4FE3" w:rsidP="001D4FE3">
      <w:pPr>
        <w:spacing w:before="40" w:after="40"/>
        <w:ind w:firstLine="851"/>
        <w:jc w:val="both"/>
        <w:rPr>
          <w:color w:val="000000"/>
        </w:rPr>
      </w:pPr>
      <w:r w:rsidRPr="001566BA">
        <w:rPr>
          <w:color w:val="000000"/>
        </w:rPr>
        <w:t xml:space="preserve">В ближайшие годы не прогнозируется значительных колебаний показателя среднесписочной численности населения города. Это будет достигнуто за счет сохранения сложившейся положительной тенденции стабилизации естественного движения населения, прироста населения за счет миграции с государствами-участниками СНГ при одновременном миграционном оттоке в областной центр. Внутриобластная миграция будет компенсироваться притоком мигрантов из других регионов и стран ближнего зарубежья. В целом на ближайшие годы </w:t>
      </w:r>
      <w:r w:rsidR="00A349CE" w:rsidRPr="001566BA">
        <w:rPr>
          <w:color w:val="000000"/>
        </w:rPr>
        <w:t xml:space="preserve">не </w:t>
      </w:r>
      <w:r w:rsidRPr="001566BA">
        <w:rPr>
          <w:color w:val="000000"/>
        </w:rPr>
        <w:t xml:space="preserve">прогнозируется </w:t>
      </w:r>
      <w:r w:rsidR="00FA16F9">
        <w:rPr>
          <w:color w:val="000000"/>
        </w:rPr>
        <w:t xml:space="preserve">большого </w:t>
      </w:r>
      <w:r w:rsidRPr="001566BA">
        <w:rPr>
          <w:color w:val="000000"/>
        </w:rPr>
        <w:t>снижени</w:t>
      </w:r>
      <w:r w:rsidR="00FA16F9">
        <w:rPr>
          <w:color w:val="000000"/>
        </w:rPr>
        <w:t>я</w:t>
      </w:r>
      <w:r w:rsidRPr="001566BA">
        <w:rPr>
          <w:color w:val="000000"/>
        </w:rPr>
        <w:t xml:space="preserve"> средне</w:t>
      </w:r>
      <w:r w:rsidR="00A349CE" w:rsidRPr="001566BA">
        <w:rPr>
          <w:color w:val="000000"/>
        </w:rPr>
        <w:t>списочной численности населения</w:t>
      </w:r>
      <w:r w:rsidRPr="001566BA">
        <w:rPr>
          <w:color w:val="000000"/>
        </w:rPr>
        <w:t>. К концу 20</w:t>
      </w:r>
      <w:r w:rsidR="00A349CE" w:rsidRPr="001566BA">
        <w:rPr>
          <w:color w:val="000000"/>
        </w:rPr>
        <w:t>2</w:t>
      </w:r>
      <w:r w:rsidR="002F1F72">
        <w:rPr>
          <w:color w:val="000000"/>
        </w:rPr>
        <w:t>1</w:t>
      </w:r>
      <w:r w:rsidRPr="001566BA">
        <w:rPr>
          <w:color w:val="000000"/>
        </w:rPr>
        <w:t xml:space="preserve"> года среднесписочная численность населения г</w:t>
      </w:r>
      <w:r w:rsidR="00A349CE" w:rsidRPr="001566BA">
        <w:rPr>
          <w:color w:val="000000"/>
        </w:rPr>
        <w:t>орода</w:t>
      </w:r>
      <w:r w:rsidRPr="001566BA">
        <w:rPr>
          <w:color w:val="000000"/>
        </w:rPr>
        <w:t xml:space="preserve"> Тутаева будет находиться в пределах 40,</w:t>
      </w:r>
      <w:r w:rsidR="00C10518">
        <w:rPr>
          <w:color w:val="000000"/>
        </w:rPr>
        <w:t>28</w:t>
      </w:r>
      <w:r w:rsidRPr="001566BA">
        <w:rPr>
          <w:color w:val="000000"/>
        </w:rPr>
        <w:t xml:space="preserve"> тыс. чел.  </w:t>
      </w:r>
    </w:p>
    <w:p w:rsidR="007E60F0" w:rsidRDefault="007E60F0" w:rsidP="007E60F0">
      <w:pPr>
        <w:pStyle w:val="a8"/>
        <w:spacing w:line="240" w:lineRule="auto"/>
        <w:ind w:left="720" w:firstLine="0"/>
      </w:pPr>
    </w:p>
    <w:p w:rsidR="00D96675" w:rsidRDefault="00D96675" w:rsidP="007E60F0">
      <w:pPr>
        <w:pStyle w:val="a8"/>
        <w:spacing w:line="240" w:lineRule="auto"/>
        <w:ind w:left="720" w:firstLine="0"/>
      </w:pPr>
    </w:p>
    <w:p w:rsidR="00D03B12" w:rsidRPr="001566BA" w:rsidRDefault="00D03B12" w:rsidP="005732CF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6BA">
        <w:rPr>
          <w:rFonts w:ascii="Times New Roman" w:hAnsi="Times New Roman" w:cs="Times New Roman"/>
          <w:b/>
          <w:sz w:val="24"/>
          <w:szCs w:val="24"/>
        </w:rPr>
        <w:t>О</w:t>
      </w:r>
      <w:r w:rsidR="00504C6A" w:rsidRPr="001566BA">
        <w:rPr>
          <w:rFonts w:ascii="Times New Roman" w:hAnsi="Times New Roman" w:cs="Times New Roman"/>
          <w:b/>
          <w:sz w:val="24"/>
          <w:szCs w:val="24"/>
        </w:rPr>
        <w:t>сновные характеристики рынка труда</w:t>
      </w:r>
    </w:p>
    <w:p w:rsidR="005732CF" w:rsidRPr="001566BA" w:rsidRDefault="005732CF" w:rsidP="005732CF">
      <w:pPr>
        <w:pStyle w:val="a3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04C6A" w:rsidRPr="001566BA" w:rsidRDefault="00A32E26" w:rsidP="00D03B1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66BA">
        <w:rPr>
          <w:rFonts w:ascii="Times New Roman" w:hAnsi="Times New Roman" w:cs="Times New Roman"/>
          <w:sz w:val="24"/>
          <w:szCs w:val="24"/>
        </w:rPr>
        <w:t>В последнее время</w:t>
      </w:r>
      <w:r w:rsidR="00634F80" w:rsidRPr="001566BA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B0279A">
        <w:rPr>
          <w:rFonts w:ascii="Times New Roman" w:hAnsi="Times New Roman" w:cs="Times New Roman"/>
          <w:sz w:val="24"/>
          <w:szCs w:val="24"/>
        </w:rPr>
        <w:t>снижение</w:t>
      </w:r>
      <w:r w:rsidR="00634F80" w:rsidRPr="001566BA">
        <w:rPr>
          <w:rFonts w:ascii="Times New Roman" w:hAnsi="Times New Roman" w:cs="Times New Roman"/>
          <w:sz w:val="24"/>
          <w:szCs w:val="24"/>
        </w:rPr>
        <w:t xml:space="preserve"> безработицы: </w:t>
      </w:r>
      <w:r w:rsidR="000318F5" w:rsidRPr="001566BA">
        <w:rPr>
          <w:rFonts w:ascii="Times New Roman" w:hAnsi="Times New Roman" w:cs="Times New Roman"/>
          <w:sz w:val="24"/>
          <w:szCs w:val="24"/>
        </w:rPr>
        <w:t>на 01.01.201</w:t>
      </w:r>
      <w:r w:rsidR="00567761" w:rsidRPr="001566BA">
        <w:rPr>
          <w:rFonts w:ascii="Times New Roman" w:hAnsi="Times New Roman" w:cs="Times New Roman"/>
          <w:sz w:val="24"/>
          <w:szCs w:val="24"/>
        </w:rPr>
        <w:t>6</w:t>
      </w:r>
      <w:r w:rsidR="000318F5" w:rsidRPr="001566BA">
        <w:rPr>
          <w:rFonts w:ascii="Times New Roman" w:hAnsi="Times New Roman" w:cs="Times New Roman"/>
          <w:sz w:val="24"/>
          <w:szCs w:val="24"/>
        </w:rPr>
        <w:t xml:space="preserve"> г. – </w:t>
      </w:r>
      <w:r w:rsidR="00567761" w:rsidRPr="001566BA">
        <w:rPr>
          <w:rFonts w:ascii="Times New Roman" w:hAnsi="Times New Roman" w:cs="Times New Roman"/>
          <w:sz w:val="24"/>
          <w:szCs w:val="24"/>
        </w:rPr>
        <w:t>3,5</w:t>
      </w:r>
      <w:r w:rsidR="000318F5" w:rsidRPr="001566BA">
        <w:rPr>
          <w:rFonts w:ascii="Times New Roman" w:hAnsi="Times New Roman" w:cs="Times New Roman"/>
          <w:sz w:val="24"/>
          <w:szCs w:val="24"/>
        </w:rPr>
        <w:t xml:space="preserve"> % (</w:t>
      </w:r>
      <w:r w:rsidR="00567761" w:rsidRPr="001566BA">
        <w:rPr>
          <w:rFonts w:ascii="Times New Roman" w:hAnsi="Times New Roman" w:cs="Times New Roman"/>
          <w:sz w:val="24"/>
          <w:szCs w:val="24"/>
        </w:rPr>
        <w:t>846</w:t>
      </w:r>
      <w:r w:rsidR="000318F5" w:rsidRPr="001566BA">
        <w:rPr>
          <w:rFonts w:ascii="Times New Roman" w:hAnsi="Times New Roman" w:cs="Times New Roman"/>
          <w:sz w:val="24"/>
          <w:szCs w:val="24"/>
        </w:rPr>
        <w:t xml:space="preserve"> безработных, зарегистрированных в органах государственной службы занятости)</w:t>
      </w:r>
      <w:r w:rsidR="004D5244" w:rsidRPr="001566BA">
        <w:rPr>
          <w:rFonts w:ascii="Times New Roman" w:hAnsi="Times New Roman" w:cs="Times New Roman"/>
          <w:sz w:val="24"/>
          <w:szCs w:val="24"/>
        </w:rPr>
        <w:t xml:space="preserve">, </w:t>
      </w:r>
      <w:r w:rsidR="00C9408F" w:rsidRPr="001566BA">
        <w:rPr>
          <w:rFonts w:ascii="Times New Roman" w:hAnsi="Times New Roman" w:cs="Times New Roman"/>
          <w:sz w:val="24"/>
          <w:szCs w:val="24"/>
        </w:rPr>
        <w:t xml:space="preserve">на </w:t>
      </w:r>
      <w:r w:rsidR="004D5244" w:rsidRPr="001566BA">
        <w:rPr>
          <w:rFonts w:ascii="Times New Roman" w:hAnsi="Times New Roman" w:cs="Times New Roman"/>
          <w:sz w:val="24"/>
          <w:szCs w:val="24"/>
        </w:rPr>
        <w:t>01.01.2017 г. – 3,3 % (775 безработных, зарегистрированных в органах государственной службы занятости)</w:t>
      </w:r>
      <w:r w:rsidR="0074257B">
        <w:rPr>
          <w:rFonts w:ascii="Times New Roman" w:hAnsi="Times New Roman" w:cs="Times New Roman"/>
          <w:sz w:val="24"/>
          <w:szCs w:val="24"/>
        </w:rPr>
        <w:t>,</w:t>
      </w:r>
      <w:r w:rsidR="0074257B" w:rsidRPr="0074257B">
        <w:rPr>
          <w:rFonts w:ascii="Times New Roman" w:hAnsi="Times New Roman" w:cs="Times New Roman"/>
          <w:sz w:val="24"/>
          <w:szCs w:val="24"/>
        </w:rPr>
        <w:t xml:space="preserve"> </w:t>
      </w:r>
      <w:r w:rsidR="0074257B" w:rsidRPr="001566BA">
        <w:rPr>
          <w:rFonts w:ascii="Times New Roman" w:hAnsi="Times New Roman" w:cs="Times New Roman"/>
          <w:sz w:val="24"/>
          <w:szCs w:val="24"/>
        </w:rPr>
        <w:t>на 01.</w:t>
      </w:r>
      <w:r w:rsidR="00B0279A">
        <w:rPr>
          <w:rFonts w:ascii="Times New Roman" w:hAnsi="Times New Roman" w:cs="Times New Roman"/>
          <w:sz w:val="24"/>
          <w:szCs w:val="24"/>
        </w:rPr>
        <w:t>01</w:t>
      </w:r>
      <w:r w:rsidR="0074257B" w:rsidRPr="001566BA">
        <w:rPr>
          <w:rFonts w:ascii="Times New Roman" w:hAnsi="Times New Roman" w:cs="Times New Roman"/>
          <w:sz w:val="24"/>
          <w:szCs w:val="24"/>
        </w:rPr>
        <w:t>.201</w:t>
      </w:r>
      <w:r w:rsidR="00B0279A">
        <w:rPr>
          <w:rFonts w:ascii="Times New Roman" w:hAnsi="Times New Roman" w:cs="Times New Roman"/>
          <w:sz w:val="24"/>
          <w:szCs w:val="24"/>
        </w:rPr>
        <w:t>8</w:t>
      </w:r>
      <w:r w:rsidR="0074257B" w:rsidRPr="001566BA">
        <w:rPr>
          <w:rFonts w:ascii="Times New Roman" w:hAnsi="Times New Roman" w:cs="Times New Roman"/>
          <w:sz w:val="24"/>
          <w:szCs w:val="24"/>
        </w:rPr>
        <w:t xml:space="preserve"> г. – </w:t>
      </w:r>
      <w:r w:rsidR="0074257B">
        <w:rPr>
          <w:rFonts w:ascii="Times New Roman" w:hAnsi="Times New Roman" w:cs="Times New Roman"/>
          <w:sz w:val="24"/>
          <w:szCs w:val="24"/>
        </w:rPr>
        <w:t>2</w:t>
      </w:r>
      <w:r w:rsidR="0074257B" w:rsidRPr="001566BA">
        <w:rPr>
          <w:rFonts w:ascii="Times New Roman" w:hAnsi="Times New Roman" w:cs="Times New Roman"/>
          <w:sz w:val="24"/>
          <w:szCs w:val="24"/>
        </w:rPr>
        <w:t>,</w:t>
      </w:r>
      <w:r w:rsidR="00B0279A">
        <w:rPr>
          <w:rFonts w:ascii="Times New Roman" w:hAnsi="Times New Roman" w:cs="Times New Roman"/>
          <w:sz w:val="24"/>
          <w:szCs w:val="24"/>
        </w:rPr>
        <w:t>9</w:t>
      </w:r>
      <w:r w:rsidR="0074257B" w:rsidRPr="001566BA">
        <w:rPr>
          <w:rFonts w:ascii="Times New Roman" w:hAnsi="Times New Roman" w:cs="Times New Roman"/>
          <w:sz w:val="24"/>
          <w:szCs w:val="24"/>
        </w:rPr>
        <w:t xml:space="preserve"> % (</w:t>
      </w:r>
      <w:r w:rsidR="0074257B">
        <w:rPr>
          <w:rFonts w:ascii="Times New Roman" w:hAnsi="Times New Roman" w:cs="Times New Roman"/>
          <w:sz w:val="24"/>
          <w:szCs w:val="24"/>
        </w:rPr>
        <w:t>6</w:t>
      </w:r>
      <w:r w:rsidR="00B0279A">
        <w:rPr>
          <w:rFonts w:ascii="Times New Roman" w:hAnsi="Times New Roman" w:cs="Times New Roman"/>
          <w:sz w:val="24"/>
          <w:szCs w:val="24"/>
        </w:rPr>
        <w:t>63</w:t>
      </w:r>
      <w:r w:rsidR="0074257B" w:rsidRPr="001566BA">
        <w:rPr>
          <w:rFonts w:ascii="Times New Roman" w:hAnsi="Times New Roman" w:cs="Times New Roman"/>
          <w:sz w:val="24"/>
          <w:szCs w:val="24"/>
        </w:rPr>
        <w:t xml:space="preserve"> безработных, зарегистрированных в </w:t>
      </w:r>
      <w:r w:rsidR="0074257B" w:rsidRPr="001566BA">
        <w:rPr>
          <w:rFonts w:ascii="Times New Roman" w:hAnsi="Times New Roman" w:cs="Times New Roman"/>
          <w:sz w:val="24"/>
          <w:szCs w:val="24"/>
        </w:rPr>
        <w:lastRenderedPageBreak/>
        <w:t>органах государственной службы занятости)</w:t>
      </w:r>
      <w:r w:rsidR="007907EC">
        <w:rPr>
          <w:rFonts w:ascii="Times New Roman" w:hAnsi="Times New Roman" w:cs="Times New Roman"/>
          <w:sz w:val="24"/>
          <w:szCs w:val="24"/>
        </w:rPr>
        <w:t>, на 01.10.2018 г. – 2,5 % (</w:t>
      </w:r>
      <w:r w:rsidR="007907EC" w:rsidRPr="007907EC">
        <w:rPr>
          <w:rFonts w:ascii="Times New Roman" w:hAnsi="Times New Roman" w:cs="Times New Roman"/>
          <w:sz w:val="24"/>
          <w:szCs w:val="24"/>
        </w:rPr>
        <w:t>565</w:t>
      </w:r>
      <w:r w:rsidR="007907EC">
        <w:rPr>
          <w:rFonts w:ascii="Times New Roman" w:hAnsi="Times New Roman" w:cs="Times New Roman"/>
          <w:sz w:val="24"/>
          <w:szCs w:val="24"/>
        </w:rPr>
        <w:t xml:space="preserve"> </w:t>
      </w:r>
      <w:r w:rsidR="007907EC" w:rsidRPr="001566BA">
        <w:rPr>
          <w:rFonts w:ascii="Times New Roman" w:hAnsi="Times New Roman" w:cs="Times New Roman"/>
          <w:sz w:val="24"/>
          <w:szCs w:val="24"/>
        </w:rPr>
        <w:t>безработных, зарегистрированных в органах государственной службы занятости)</w:t>
      </w:r>
      <w:r w:rsidR="00656F16" w:rsidRPr="001566B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4C6A" w:rsidRDefault="00A32E26" w:rsidP="008A461C">
      <w:pPr>
        <w:ind w:firstLine="709"/>
        <w:jc w:val="both"/>
      </w:pPr>
      <w:proofErr w:type="gramStart"/>
      <w:r w:rsidRPr="001566BA">
        <w:t>В городском поселении Тутаев с</w:t>
      </w:r>
      <w:r w:rsidR="00504C6A" w:rsidRPr="001566BA">
        <w:t xml:space="preserve">реднемесячная номинальная начисленная заработная плата работников в 2014 г. – </w:t>
      </w:r>
      <w:r w:rsidR="008C045D" w:rsidRPr="001566BA">
        <w:t>18 562</w:t>
      </w:r>
      <w:r w:rsidR="00504C6A" w:rsidRPr="001566BA">
        <w:t xml:space="preserve"> руб. (</w:t>
      </w:r>
      <w:r w:rsidR="008C045D" w:rsidRPr="001566BA">
        <w:t>105</w:t>
      </w:r>
      <w:r w:rsidR="00285072" w:rsidRPr="001566BA">
        <w:t>,</w:t>
      </w:r>
      <w:r w:rsidR="008C045D" w:rsidRPr="001566BA">
        <w:t>2</w:t>
      </w:r>
      <w:r w:rsidR="00504C6A" w:rsidRPr="001566BA">
        <w:t xml:space="preserve"> % к 2013 году)</w:t>
      </w:r>
      <w:r w:rsidR="006A53EB" w:rsidRPr="001566BA">
        <w:t xml:space="preserve">, </w:t>
      </w:r>
      <w:r w:rsidR="00096149">
        <w:t>в 2016</w:t>
      </w:r>
      <w:r w:rsidR="006A53EB" w:rsidRPr="001566BA">
        <w:t xml:space="preserve"> г. – </w:t>
      </w:r>
      <w:r w:rsidR="00096149" w:rsidRPr="00096149">
        <w:t>24122</w:t>
      </w:r>
      <w:r w:rsidR="006A53EB" w:rsidRPr="00096149">
        <w:t xml:space="preserve"> руб. (10</w:t>
      </w:r>
      <w:r w:rsidR="00567761" w:rsidRPr="00096149">
        <w:t>9</w:t>
      </w:r>
      <w:r w:rsidR="006A53EB" w:rsidRPr="00096149">
        <w:t>,</w:t>
      </w:r>
      <w:r w:rsidR="00096149" w:rsidRPr="00096149">
        <w:t>0</w:t>
      </w:r>
      <w:r w:rsidR="006A53EB" w:rsidRPr="00096149">
        <w:t>% к 201</w:t>
      </w:r>
      <w:r w:rsidR="00567761" w:rsidRPr="00096149">
        <w:t>5</w:t>
      </w:r>
      <w:r w:rsidR="006A53EB" w:rsidRPr="00096149">
        <w:t xml:space="preserve"> года)</w:t>
      </w:r>
      <w:r w:rsidR="0074257B">
        <w:t>, в 2016</w:t>
      </w:r>
      <w:r w:rsidR="0074257B" w:rsidRPr="001566BA">
        <w:t xml:space="preserve"> г. – </w:t>
      </w:r>
      <w:r w:rsidR="0074257B" w:rsidRPr="00096149">
        <w:t>24122 руб. (109,0% к 2015 год</w:t>
      </w:r>
      <w:r w:rsidR="00DC2806">
        <w:t>у</w:t>
      </w:r>
      <w:r w:rsidR="0074257B" w:rsidRPr="00096149">
        <w:t>)</w:t>
      </w:r>
      <w:r w:rsidR="00AD0B2E">
        <w:t xml:space="preserve">, </w:t>
      </w:r>
      <w:r w:rsidR="00B0279A">
        <w:t xml:space="preserve">в </w:t>
      </w:r>
      <w:r w:rsidR="00AD0B2E">
        <w:t>2017г. – 25</w:t>
      </w:r>
      <w:r w:rsidR="00DC2806">
        <w:t>560,5</w:t>
      </w:r>
      <w:r w:rsidR="00AD0B2E">
        <w:t xml:space="preserve"> руб. (</w:t>
      </w:r>
      <w:r w:rsidR="00DC2806">
        <w:t>75</w:t>
      </w:r>
      <w:r w:rsidR="00AD0B2E">
        <w:t>,</w:t>
      </w:r>
      <w:r w:rsidR="00DC2806">
        <w:t>8</w:t>
      </w:r>
      <w:r w:rsidR="00AD0B2E">
        <w:t>% к 2016 год</w:t>
      </w:r>
      <w:r w:rsidR="00DC2806">
        <w:t>у</w:t>
      </w:r>
      <w:r w:rsidR="00AD0B2E">
        <w:t>)</w:t>
      </w:r>
      <w:r w:rsidR="001145C5">
        <w:t>, на 01.10.2018 г. – 27218,3 руб. (107,8% к аналогичному периоду 2017 года)</w:t>
      </w:r>
      <w:r w:rsidR="00504C6A" w:rsidRPr="00096149">
        <w:t>.</w:t>
      </w:r>
      <w:proofErr w:type="gramEnd"/>
    </w:p>
    <w:p w:rsidR="00AF61CB" w:rsidRPr="001566BA" w:rsidRDefault="00AF61CB" w:rsidP="008A461C">
      <w:pPr>
        <w:ind w:firstLine="709"/>
        <w:jc w:val="both"/>
      </w:pPr>
    </w:p>
    <w:p w:rsidR="000F477E" w:rsidRPr="00AF61CB" w:rsidRDefault="00147B8B" w:rsidP="005732CF">
      <w:pPr>
        <w:pStyle w:val="a7"/>
        <w:numPr>
          <w:ilvl w:val="0"/>
          <w:numId w:val="1"/>
        </w:numPr>
        <w:jc w:val="center"/>
      </w:pPr>
      <w:r w:rsidRPr="001566BA">
        <w:rPr>
          <w:b/>
        </w:rPr>
        <w:t>Экономическое развитие городского поселения Тутаев</w:t>
      </w:r>
    </w:p>
    <w:p w:rsidR="00AF61CB" w:rsidRPr="001566BA" w:rsidRDefault="00AF61CB" w:rsidP="00AF61CB">
      <w:pPr>
        <w:pStyle w:val="a7"/>
      </w:pPr>
    </w:p>
    <w:p w:rsidR="00A654D5" w:rsidRPr="001566BA" w:rsidRDefault="000763B7" w:rsidP="000763B7">
      <w:pPr>
        <w:pStyle w:val="a7"/>
        <w:ind w:left="0" w:firstLine="720"/>
        <w:jc w:val="both"/>
      </w:pPr>
      <w:r>
        <w:t>Общее число предприятий зарегистрированных на территории городского поселения Тутаев на 01.10.2018 составило 526 единиц, индивидуальных предпринимателей – 834 человека.</w:t>
      </w:r>
    </w:p>
    <w:p w:rsidR="006920B4" w:rsidRPr="001566BA" w:rsidRDefault="006920B4" w:rsidP="006920B4">
      <w:pPr>
        <w:pStyle w:val="a8"/>
        <w:spacing w:line="276" w:lineRule="auto"/>
        <w:ind w:left="360" w:firstLine="348"/>
        <w:rPr>
          <w:color w:val="auto"/>
        </w:rPr>
      </w:pPr>
      <w:r w:rsidRPr="001566BA">
        <w:rPr>
          <w:color w:val="auto"/>
          <w:lang w:eastAsia="ru-RU"/>
        </w:rPr>
        <w:t xml:space="preserve">В настоящее время </w:t>
      </w:r>
      <w:r w:rsidRPr="001566BA">
        <w:rPr>
          <w:color w:val="auto"/>
        </w:rPr>
        <w:t xml:space="preserve">промышленность города представлена следующими основными предприятиями: </w:t>
      </w:r>
    </w:p>
    <w:p w:rsidR="006920B4" w:rsidRPr="001566BA" w:rsidRDefault="006920B4" w:rsidP="006920B4">
      <w:pPr>
        <w:pStyle w:val="a8"/>
        <w:spacing w:line="276" w:lineRule="auto"/>
        <w:rPr>
          <w:color w:val="auto"/>
        </w:rPr>
      </w:pPr>
      <w:r w:rsidRPr="001566BA">
        <w:rPr>
          <w:color w:val="auto"/>
        </w:rPr>
        <w:t xml:space="preserve">- </w:t>
      </w:r>
      <w:r w:rsidR="00DC2806">
        <w:rPr>
          <w:color w:val="auto"/>
        </w:rPr>
        <w:t>П</w:t>
      </w:r>
      <w:r w:rsidRPr="001566BA">
        <w:rPr>
          <w:color w:val="auto"/>
        </w:rPr>
        <w:t>АО «Тутаевский моторный завод» – машиностроение (изготовление двигателей, коробок передач и т.п.),</w:t>
      </w:r>
    </w:p>
    <w:p w:rsidR="006920B4" w:rsidRPr="001566BA" w:rsidRDefault="006920B4" w:rsidP="006920B4">
      <w:pPr>
        <w:pStyle w:val="a8"/>
        <w:spacing w:line="276" w:lineRule="auto"/>
        <w:rPr>
          <w:color w:val="auto"/>
        </w:rPr>
      </w:pPr>
      <w:r w:rsidRPr="001566BA">
        <w:rPr>
          <w:color w:val="auto"/>
        </w:rPr>
        <w:t>- ООО «Феникс» - литейное производство и металлообработка,</w:t>
      </w:r>
    </w:p>
    <w:p w:rsidR="006920B4" w:rsidRPr="001566BA" w:rsidRDefault="006920B4" w:rsidP="006920B4">
      <w:pPr>
        <w:pStyle w:val="a8"/>
        <w:spacing w:line="276" w:lineRule="auto"/>
        <w:ind w:left="720" w:firstLine="0"/>
        <w:rPr>
          <w:color w:val="auto"/>
        </w:rPr>
      </w:pPr>
      <w:r w:rsidRPr="001566BA">
        <w:rPr>
          <w:color w:val="auto"/>
        </w:rPr>
        <w:t>- ООО «</w:t>
      </w:r>
      <w:proofErr w:type="spellStart"/>
      <w:r w:rsidRPr="001566BA">
        <w:rPr>
          <w:color w:val="auto"/>
        </w:rPr>
        <w:t>Тутаевская</w:t>
      </w:r>
      <w:proofErr w:type="spellEnd"/>
      <w:r w:rsidRPr="001566BA">
        <w:rPr>
          <w:color w:val="auto"/>
        </w:rPr>
        <w:t xml:space="preserve"> механическая компания» - металлообработка,</w:t>
      </w:r>
    </w:p>
    <w:p w:rsidR="006920B4" w:rsidRPr="001566BA" w:rsidRDefault="006920B4" w:rsidP="006920B4">
      <w:pPr>
        <w:pStyle w:val="a8"/>
        <w:spacing w:line="276" w:lineRule="auto"/>
        <w:ind w:left="720" w:firstLine="0"/>
        <w:rPr>
          <w:color w:val="auto"/>
        </w:rPr>
      </w:pPr>
      <w:r w:rsidRPr="001566BA">
        <w:rPr>
          <w:color w:val="auto"/>
        </w:rPr>
        <w:t>- ЗАО «Метиз» - изготовление крепежей и метизов,</w:t>
      </w:r>
    </w:p>
    <w:p w:rsidR="006920B4" w:rsidRPr="001566BA" w:rsidRDefault="006920B4" w:rsidP="006920B4">
      <w:pPr>
        <w:pStyle w:val="a8"/>
        <w:spacing w:line="276" w:lineRule="auto"/>
        <w:ind w:left="720" w:firstLine="0"/>
        <w:rPr>
          <w:color w:val="auto"/>
        </w:rPr>
      </w:pPr>
      <w:r w:rsidRPr="001566BA">
        <w:rPr>
          <w:color w:val="auto"/>
        </w:rPr>
        <w:t>- ООО «Маяк» - деревообработка,</w:t>
      </w:r>
    </w:p>
    <w:p w:rsidR="006920B4" w:rsidRPr="001566BA" w:rsidRDefault="006920B4" w:rsidP="006920B4">
      <w:pPr>
        <w:pStyle w:val="a8"/>
        <w:spacing w:line="276" w:lineRule="auto"/>
        <w:ind w:left="720" w:firstLine="0"/>
        <w:rPr>
          <w:color w:val="auto"/>
        </w:rPr>
      </w:pPr>
      <w:r w:rsidRPr="001566BA">
        <w:rPr>
          <w:color w:val="auto"/>
        </w:rPr>
        <w:t>- ООО «Русская дубрава» - деревообработка,</w:t>
      </w:r>
    </w:p>
    <w:p w:rsidR="006920B4" w:rsidRPr="001566BA" w:rsidRDefault="006920B4" w:rsidP="006920B4">
      <w:pPr>
        <w:pStyle w:val="a8"/>
        <w:spacing w:line="276" w:lineRule="auto"/>
        <w:ind w:left="720" w:firstLine="0"/>
        <w:rPr>
          <w:color w:val="auto"/>
        </w:rPr>
      </w:pPr>
      <w:r w:rsidRPr="001566BA">
        <w:rPr>
          <w:color w:val="auto"/>
        </w:rPr>
        <w:t>- ООО «КДК» - деревообработка,</w:t>
      </w:r>
    </w:p>
    <w:p w:rsidR="006920B4" w:rsidRPr="001566BA" w:rsidRDefault="006920B4" w:rsidP="006920B4">
      <w:pPr>
        <w:pStyle w:val="a8"/>
        <w:spacing w:line="276" w:lineRule="auto"/>
        <w:ind w:left="720" w:firstLine="0"/>
        <w:rPr>
          <w:color w:val="auto"/>
        </w:rPr>
      </w:pPr>
      <w:r w:rsidRPr="001566BA">
        <w:rPr>
          <w:color w:val="auto"/>
        </w:rPr>
        <w:t>- ЗАО «Единство» - пищевая промышленность: колбасные и кондитерские изделия,</w:t>
      </w:r>
    </w:p>
    <w:p w:rsidR="006920B4" w:rsidRPr="001566BA" w:rsidRDefault="006920B4" w:rsidP="006920B4">
      <w:pPr>
        <w:pStyle w:val="a8"/>
        <w:spacing w:line="276" w:lineRule="auto"/>
        <w:rPr>
          <w:color w:val="auto"/>
        </w:rPr>
      </w:pPr>
      <w:r w:rsidRPr="001566BA">
        <w:rPr>
          <w:color w:val="auto"/>
        </w:rPr>
        <w:t>- ООО «</w:t>
      </w:r>
      <w:proofErr w:type="spellStart"/>
      <w:r w:rsidRPr="001566BA">
        <w:rPr>
          <w:color w:val="auto"/>
        </w:rPr>
        <w:t>Мехсталькомплект</w:t>
      </w:r>
      <w:proofErr w:type="spellEnd"/>
      <w:r w:rsidRPr="001566BA">
        <w:rPr>
          <w:color w:val="auto"/>
        </w:rPr>
        <w:t>» - изготовление комплектующих и механизмов для мебели,</w:t>
      </w:r>
    </w:p>
    <w:p w:rsidR="006920B4" w:rsidRPr="001566BA" w:rsidRDefault="006920B4" w:rsidP="006920B4">
      <w:pPr>
        <w:pStyle w:val="a8"/>
        <w:spacing w:line="276" w:lineRule="auto"/>
        <w:ind w:left="720" w:firstLine="0"/>
        <w:rPr>
          <w:color w:val="auto"/>
        </w:rPr>
      </w:pPr>
      <w:r w:rsidRPr="001566BA">
        <w:rPr>
          <w:color w:val="auto"/>
        </w:rPr>
        <w:t>- ООО «МК «Фабрика» - производство мебели,</w:t>
      </w:r>
    </w:p>
    <w:p w:rsidR="006920B4" w:rsidRPr="001566BA" w:rsidRDefault="006920B4" w:rsidP="006920B4">
      <w:pPr>
        <w:pStyle w:val="a8"/>
        <w:spacing w:line="276" w:lineRule="auto"/>
        <w:rPr>
          <w:color w:val="auto"/>
        </w:rPr>
      </w:pPr>
      <w:r w:rsidRPr="001566BA">
        <w:rPr>
          <w:color w:val="auto"/>
        </w:rPr>
        <w:t>- ООО «</w:t>
      </w:r>
      <w:proofErr w:type="spellStart"/>
      <w:r w:rsidRPr="001566BA">
        <w:rPr>
          <w:color w:val="auto"/>
        </w:rPr>
        <w:t>Италмас</w:t>
      </w:r>
      <w:proofErr w:type="spellEnd"/>
      <w:r w:rsidRPr="001566BA">
        <w:rPr>
          <w:color w:val="auto"/>
        </w:rPr>
        <w:t xml:space="preserve">» - производство металлических изделий, </w:t>
      </w:r>
      <w:proofErr w:type="spellStart"/>
      <w:r w:rsidRPr="001566BA">
        <w:rPr>
          <w:color w:val="auto"/>
        </w:rPr>
        <w:t>колоколитейное</w:t>
      </w:r>
      <w:proofErr w:type="spellEnd"/>
      <w:r w:rsidRPr="001566BA">
        <w:rPr>
          <w:color w:val="auto"/>
        </w:rPr>
        <w:t xml:space="preserve"> производство, </w:t>
      </w:r>
    </w:p>
    <w:p w:rsidR="006920B4" w:rsidRPr="001566BA" w:rsidRDefault="006920B4" w:rsidP="006920B4">
      <w:pPr>
        <w:pStyle w:val="a8"/>
        <w:spacing w:line="276" w:lineRule="auto"/>
        <w:ind w:left="720" w:firstLine="0"/>
        <w:rPr>
          <w:color w:val="auto"/>
        </w:rPr>
      </w:pPr>
      <w:r w:rsidRPr="001566BA">
        <w:rPr>
          <w:color w:val="auto"/>
        </w:rPr>
        <w:t>- ООО «Романовский продукт» - пивоваренная промышленность (пиво, квас),</w:t>
      </w:r>
    </w:p>
    <w:p w:rsidR="006920B4" w:rsidRPr="001566BA" w:rsidRDefault="006920B4" w:rsidP="006920B4">
      <w:pPr>
        <w:pStyle w:val="a8"/>
        <w:spacing w:line="276" w:lineRule="auto"/>
        <w:ind w:left="720" w:firstLine="0"/>
        <w:rPr>
          <w:color w:val="auto"/>
        </w:rPr>
      </w:pPr>
      <w:r w:rsidRPr="001566BA">
        <w:rPr>
          <w:color w:val="auto"/>
        </w:rPr>
        <w:t>- ООО «</w:t>
      </w:r>
      <w:proofErr w:type="spellStart"/>
      <w:r w:rsidRPr="001566BA">
        <w:rPr>
          <w:color w:val="auto"/>
        </w:rPr>
        <w:t>Винтаж</w:t>
      </w:r>
      <w:proofErr w:type="spellEnd"/>
      <w:r w:rsidRPr="001566BA">
        <w:rPr>
          <w:color w:val="auto"/>
        </w:rPr>
        <w:t>» - производство пищевых продуктов, включая напитки,</w:t>
      </w:r>
    </w:p>
    <w:p w:rsidR="006920B4" w:rsidRPr="001566BA" w:rsidRDefault="006920B4" w:rsidP="006920B4">
      <w:pPr>
        <w:pStyle w:val="a8"/>
        <w:spacing w:line="276" w:lineRule="auto"/>
        <w:ind w:left="720" w:firstLine="0"/>
        <w:rPr>
          <w:color w:val="auto"/>
        </w:rPr>
      </w:pPr>
      <w:r w:rsidRPr="001566BA">
        <w:rPr>
          <w:color w:val="auto"/>
        </w:rPr>
        <w:t>- ООО «Компания Дизель» - производство дизельных электростанций,</w:t>
      </w:r>
    </w:p>
    <w:p w:rsidR="003A2820" w:rsidRPr="001566BA" w:rsidRDefault="006920B4" w:rsidP="006920B4">
      <w:pPr>
        <w:pStyle w:val="a8"/>
        <w:spacing w:line="276" w:lineRule="auto"/>
        <w:ind w:left="720" w:firstLine="0"/>
        <w:rPr>
          <w:color w:val="auto"/>
        </w:rPr>
      </w:pPr>
      <w:r w:rsidRPr="001566BA">
        <w:rPr>
          <w:color w:val="auto"/>
        </w:rPr>
        <w:t>- ООО «Поли Пак» - производство резиновых и пластмассовых изделий</w:t>
      </w:r>
      <w:r w:rsidR="003A2820" w:rsidRPr="001566BA">
        <w:rPr>
          <w:color w:val="auto"/>
        </w:rPr>
        <w:t>,</w:t>
      </w:r>
      <w:r w:rsidRPr="001566BA">
        <w:rPr>
          <w:color w:val="auto"/>
        </w:rPr>
        <w:t xml:space="preserve"> </w:t>
      </w:r>
    </w:p>
    <w:p w:rsidR="003A2820" w:rsidRPr="001566BA" w:rsidRDefault="003A2820" w:rsidP="006920B4">
      <w:pPr>
        <w:pStyle w:val="a8"/>
        <w:spacing w:line="276" w:lineRule="auto"/>
        <w:ind w:left="720" w:firstLine="0"/>
        <w:rPr>
          <w:color w:val="auto"/>
        </w:rPr>
      </w:pPr>
      <w:r w:rsidRPr="001566BA">
        <w:rPr>
          <w:color w:val="auto"/>
        </w:rPr>
        <w:t xml:space="preserve">- ООО «СААРГУММИ-РУСЛАНД» - производство уплотнителей </w:t>
      </w:r>
      <w:proofErr w:type="gramStart"/>
      <w:r w:rsidRPr="001566BA">
        <w:rPr>
          <w:color w:val="auto"/>
        </w:rPr>
        <w:t>для</w:t>
      </w:r>
      <w:proofErr w:type="gramEnd"/>
    </w:p>
    <w:p w:rsidR="003A2820" w:rsidRPr="001566BA" w:rsidRDefault="003A2820" w:rsidP="003A2820">
      <w:pPr>
        <w:pStyle w:val="a8"/>
        <w:spacing w:line="276" w:lineRule="auto"/>
        <w:ind w:firstLine="0"/>
        <w:rPr>
          <w:color w:val="auto"/>
        </w:rPr>
      </w:pPr>
      <w:r w:rsidRPr="001566BA">
        <w:rPr>
          <w:color w:val="auto"/>
        </w:rPr>
        <w:t>Автопромышленности,</w:t>
      </w:r>
    </w:p>
    <w:p w:rsidR="003A2820" w:rsidRPr="001566BA" w:rsidRDefault="003A2820" w:rsidP="003A2820">
      <w:pPr>
        <w:pStyle w:val="a8"/>
        <w:spacing w:line="276" w:lineRule="auto"/>
        <w:ind w:firstLine="708"/>
        <w:rPr>
          <w:color w:val="auto"/>
        </w:rPr>
      </w:pPr>
      <w:r w:rsidRPr="001566BA">
        <w:rPr>
          <w:color w:val="auto"/>
        </w:rPr>
        <w:t xml:space="preserve">- ООО «Промышленные силовые машины» - </w:t>
      </w:r>
      <w:proofErr w:type="spellStart"/>
      <w:r w:rsidRPr="001566BA">
        <w:rPr>
          <w:color w:val="auto"/>
        </w:rPr>
        <w:t>прозводство</w:t>
      </w:r>
      <w:proofErr w:type="spellEnd"/>
      <w:r w:rsidRPr="001566BA">
        <w:rPr>
          <w:color w:val="auto"/>
        </w:rPr>
        <w:t xml:space="preserve"> электростанций на базе дизельных двигателей,</w:t>
      </w:r>
    </w:p>
    <w:p w:rsidR="006920B4" w:rsidRPr="001566BA" w:rsidRDefault="003A2820" w:rsidP="003A2820">
      <w:pPr>
        <w:pStyle w:val="a8"/>
        <w:spacing w:line="276" w:lineRule="auto"/>
        <w:ind w:firstLine="708"/>
        <w:rPr>
          <w:color w:val="auto"/>
        </w:rPr>
      </w:pPr>
      <w:r w:rsidRPr="001566BA">
        <w:rPr>
          <w:color w:val="auto"/>
        </w:rPr>
        <w:t xml:space="preserve">- ООО «Европейские подъемные машины» - производство </w:t>
      </w:r>
      <w:proofErr w:type="spellStart"/>
      <w:r w:rsidRPr="001566BA">
        <w:rPr>
          <w:color w:val="auto"/>
        </w:rPr>
        <w:t>безредукторных</w:t>
      </w:r>
      <w:proofErr w:type="spellEnd"/>
      <w:r w:rsidRPr="001566BA">
        <w:rPr>
          <w:color w:val="auto"/>
        </w:rPr>
        <w:t xml:space="preserve"> лифтовых лебедок </w:t>
      </w:r>
      <w:r w:rsidR="006920B4" w:rsidRPr="001566BA">
        <w:rPr>
          <w:color w:val="auto"/>
        </w:rPr>
        <w:t>и др.</w:t>
      </w:r>
    </w:p>
    <w:p w:rsidR="006920B4" w:rsidRPr="001566BA" w:rsidRDefault="006920B4" w:rsidP="004069D3">
      <w:pPr>
        <w:pStyle w:val="aa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66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ситуацию в промышленности оказывает существенное влияние </w:t>
      </w:r>
      <w:proofErr w:type="spellStart"/>
      <w:r w:rsidRPr="001566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интегрированность</w:t>
      </w:r>
      <w:proofErr w:type="spellEnd"/>
      <w:r w:rsidRPr="001566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промышленных предприятий. Соответственно, большая часть выпускаемой ими продукции не является конечной продукцией. Объёмы промышленного производства и реализация продукции напрямую зависят от заказов данных потребителей товаров промежуточного спроса. </w:t>
      </w:r>
    </w:p>
    <w:p w:rsidR="006920B4" w:rsidRPr="001566BA" w:rsidRDefault="006920B4" w:rsidP="006920B4">
      <w:pPr>
        <w:ind w:firstLine="708"/>
        <w:jc w:val="both"/>
      </w:pPr>
      <w:r w:rsidRPr="001566BA">
        <w:t>Структура промышленного производства города не претер</w:t>
      </w:r>
      <w:r w:rsidR="00910F13" w:rsidRPr="001566BA">
        <w:t>пела</w:t>
      </w:r>
      <w:r w:rsidRPr="001566BA">
        <w:t xml:space="preserve"> существенных изменений. По-прежнему определяющее влияние на итоги работы промышленного комплекса оказыва</w:t>
      </w:r>
      <w:r w:rsidR="00910F13" w:rsidRPr="001566BA">
        <w:t>ет</w:t>
      </w:r>
      <w:r w:rsidRPr="001566BA">
        <w:t xml:space="preserve"> машиностроение, металлообработка и  пищевая промышленность.</w:t>
      </w:r>
      <w:r w:rsidRPr="001566BA">
        <w:rPr>
          <w:highlight w:val="yellow"/>
        </w:rPr>
        <w:t xml:space="preserve"> </w:t>
      </w:r>
    </w:p>
    <w:p w:rsidR="004069D3" w:rsidRPr="001566BA" w:rsidRDefault="004069D3" w:rsidP="006920B4">
      <w:pPr>
        <w:ind w:firstLine="708"/>
        <w:jc w:val="both"/>
      </w:pPr>
      <w:r w:rsidRPr="001566BA">
        <w:lastRenderedPageBreak/>
        <w:t>Среди основных проблем промышленных предприятий города Тутаев остаются низкая загрузка производственных мощностей, высокая</w:t>
      </w:r>
      <w:r w:rsidR="00A654D5" w:rsidRPr="001566BA">
        <w:t xml:space="preserve"> степень износа промышленно-производственных основных фондов, низкая инновационная активность и недостаточный уровень развития высокотехнологичных наукоемких производств.</w:t>
      </w:r>
    </w:p>
    <w:p w:rsidR="004A204F" w:rsidRPr="001566BA" w:rsidRDefault="004A204F" w:rsidP="006920B4">
      <w:pPr>
        <w:ind w:firstLine="708"/>
        <w:jc w:val="both"/>
      </w:pPr>
    </w:p>
    <w:p w:rsidR="00147B8B" w:rsidRPr="001566BA" w:rsidRDefault="00147B8B" w:rsidP="005732CF">
      <w:pPr>
        <w:pStyle w:val="a7"/>
        <w:numPr>
          <w:ilvl w:val="0"/>
          <w:numId w:val="1"/>
        </w:numPr>
        <w:jc w:val="center"/>
        <w:rPr>
          <w:b/>
        </w:rPr>
      </w:pPr>
      <w:r w:rsidRPr="001566BA">
        <w:rPr>
          <w:b/>
        </w:rPr>
        <w:t>Состояние и перспективы развития малого и среднего предпринимательства</w:t>
      </w:r>
    </w:p>
    <w:p w:rsidR="00A654D5" w:rsidRPr="001566BA" w:rsidRDefault="00A654D5" w:rsidP="004B3C94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</w:rPr>
      </w:pPr>
    </w:p>
    <w:p w:rsidR="004069D3" w:rsidRPr="001566BA" w:rsidRDefault="004069D3" w:rsidP="004B3C94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</w:rPr>
      </w:pPr>
      <w:r w:rsidRPr="001566BA">
        <w:rPr>
          <w:color w:val="000000"/>
        </w:rPr>
        <w:t>Развитие малого бизнеса имеет стратегическое значение для социально-экономического развития моногорода. Этот сектор экономики создает новые рабочие места и обслуживает основную массу потребителей, производя комплекс товаров и услуг в соответствии с быстро меняющимися требованиями рынка. Малый и средний бизнес способствует увеличению налоговых поступлений, наиболее динамично осваивает новые виды продукции и экономические ниши, развивается в сферах деятельности, непривлекательных для крупного бизнеса.</w:t>
      </w:r>
    </w:p>
    <w:p w:rsidR="004069D3" w:rsidRPr="001566BA" w:rsidRDefault="004069D3" w:rsidP="004B3C94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</w:rPr>
      </w:pPr>
      <w:r w:rsidRPr="001566BA">
        <w:rPr>
          <w:color w:val="000000"/>
        </w:rPr>
        <w:t>Субъекты малого и среднего предпринимательства действуют во всех отраслях экономики города – в строительстве, производственной сфере,  розничной торговле, общественном питании, оказании платных услуг.</w:t>
      </w:r>
    </w:p>
    <w:p w:rsidR="00667994" w:rsidRDefault="00667994" w:rsidP="00667994">
      <w:pPr>
        <w:shd w:val="clear" w:color="auto" w:fill="FFFFFF"/>
        <w:autoSpaceDE w:val="0"/>
        <w:autoSpaceDN w:val="0"/>
        <w:spacing w:line="240" w:lineRule="atLeast"/>
        <w:ind w:firstLine="708"/>
        <w:jc w:val="both"/>
      </w:pPr>
      <w:r>
        <w:t>В 2017 году на поддержку и развитие субъектов малого и среднего предпринимательства направлено  2 015 тыс. руб., в том числе  250,0 – средства местного бюджета. Предоставлено 7 субсидий на предоставление субъектам малого и среднего  предпринимательства субсидий на субсидирование части затрат,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услуг).</w:t>
      </w:r>
    </w:p>
    <w:p w:rsidR="0004451E" w:rsidRPr="001566BA" w:rsidRDefault="0004451E" w:rsidP="0004451E">
      <w:pPr>
        <w:autoSpaceDE w:val="0"/>
        <w:autoSpaceDN w:val="0"/>
        <w:ind w:right="-1"/>
        <w:jc w:val="both"/>
        <w:rPr>
          <w:rFonts w:eastAsia="Calibri"/>
        </w:rPr>
      </w:pPr>
      <w:r w:rsidRPr="001566BA">
        <w:rPr>
          <w:rFonts w:eastAsia="Calibri"/>
        </w:rPr>
        <w:t xml:space="preserve">         </w:t>
      </w:r>
      <w:r w:rsidR="00667994">
        <w:rPr>
          <w:rFonts w:eastAsia="Calibri"/>
        </w:rPr>
        <w:tab/>
      </w:r>
      <w:r w:rsidRPr="001566BA">
        <w:rPr>
          <w:rFonts w:eastAsia="Calibri"/>
        </w:rPr>
        <w:t>На сегодняшний день управление экономического развития и инвестиционной политики Администрации Тутаевского муниципального района осуществляет прием заявок на получение финансовой поддержки по предоставлению субъектам малого и среднего предпринимательства Тутаевского муниципального района по следующим видам поддержки:</w:t>
      </w:r>
    </w:p>
    <w:p w:rsidR="0004451E" w:rsidRPr="001566BA" w:rsidRDefault="0004451E" w:rsidP="00F2069B">
      <w:pPr>
        <w:autoSpaceDE w:val="0"/>
        <w:autoSpaceDN w:val="0"/>
        <w:ind w:right="-1" w:firstLine="708"/>
        <w:jc w:val="both"/>
        <w:rPr>
          <w:rFonts w:eastAsia="Calibri"/>
        </w:rPr>
      </w:pPr>
      <w:r w:rsidRPr="001566BA">
        <w:rPr>
          <w:rFonts w:eastAsia="Calibri"/>
        </w:rPr>
        <w:t>- предоставление субъектам малого и среднего предпринимательства субсидий на субсидирование части затрат, связанных с уплатой процентов по кредитам, привлеченным в российских кредитных организациях;</w:t>
      </w:r>
    </w:p>
    <w:p w:rsidR="0004451E" w:rsidRPr="001566BA" w:rsidRDefault="0004451E" w:rsidP="00F2069B">
      <w:pPr>
        <w:autoSpaceDE w:val="0"/>
        <w:autoSpaceDN w:val="0"/>
        <w:ind w:right="-1" w:firstLine="708"/>
        <w:jc w:val="both"/>
        <w:rPr>
          <w:rFonts w:eastAsia="Calibri"/>
        </w:rPr>
      </w:pPr>
      <w:r w:rsidRPr="001566BA">
        <w:rPr>
          <w:rFonts w:eastAsia="Calibri"/>
        </w:rPr>
        <w:t>- предоставления субъектам малого и среднего предпринимательства субсидий на субсидирование части затрат, связанных с уплатой первого взноса (аванса), и (или) части затрат, связанных с уплатой лизинговых платежей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услуг).</w:t>
      </w:r>
    </w:p>
    <w:p w:rsidR="00FD5373" w:rsidRPr="00CC4A64" w:rsidRDefault="00C60135" w:rsidP="008A461C">
      <w:pPr>
        <w:ind w:firstLine="709"/>
        <w:jc w:val="both"/>
      </w:pPr>
      <w:r>
        <w:t>На территории Ярославской области</w:t>
      </w:r>
      <w:r w:rsidR="00400D90" w:rsidRPr="001566BA">
        <w:t xml:space="preserve"> </w:t>
      </w:r>
      <w:r w:rsidR="0021727F" w:rsidRPr="001566BA">
        <w:t>функционир</w:t>
      </w:r>
      <w:r>
        <w:t>ует</w:t>
      </w:r>
      <w:r w:rsidR="00400D90" w:rsidRPr="001566BA">
        <w:t xml:space="preserve"> фонд поддержки предпринимательства - предприниматели города могут получить денежные средства (</w:t>
      </w:r>
      <w:proofErr w:type="spellStart"/>
      <w:r w:rsidR="00400D90" w:rsidRPr="001566BA">
        <w:t>микрозайм</w:t>
      </w:r>
      <w:proofErr w:type="spellEnd"/>
      <w:r w:rsidR="00400D90" w:rsidRPr="001566BA">
        <w:t xml:space="preserve">) на льготных условиях – под </w:t>
      </w:r>
      <w:r w:rsidR="004E70DB" w:rsidRPr="001566BA">
        <w:t>5,8</w:t>
      </w:r>
      <w:r w:rsidR="00400D90" w:rsidRPr="001566BA">
        <w:t xml:space="preserve"> </w:t>
      </w:r>
      <w:r w:rsidR="0021727F" w:rsidRPr="001566BA">
        <w:t xml:space="preserve"> и 6 </w:t>
      </w:r>
      <w:r w:rsidR="00400D90" w:rsidRPr="001566BA">
        <w:t xml:space="preserve">% годовых. </w:t>
      </w:r>
      <w:r>
        <w:t>В</w:t>
      </w:r>
      <w:r w:rsidR="0021727F" w:rsidRPr="001566BA">
        <w:t xml:space="preserve"> 2017 году по состоянию на 01.0</w:t>
      </w:r>
      <w:r w:rsidR="00461DC4">
        <w:t>1</w:t>
      </w:r>
      <w:r w:rsidR="0021727F" w:rsidRPr="001566BA">
        <w:t>.201</w:t>
      </w:r>
      <w:r w:rsidR="00461DC4">
        <w:t>8</w:t>
      </w:r>
      <w:r w:rsidR="0021727F" w:rsidRPr="001566BA">
        <w:t xml:space="preserve"> года выдано </w:t>
      </w:r>
      <w:r w:rsidR="00AD3202">
        <w:t>7</w:t>
      </w:r>
      <w:r w:rsidR="0021727F" w:rsidRPr="001566BA">
        <w:t xml:space="preserve"> </w:t>
      </w:r>
      <w:proofErr w:type="spellStart"/>
      <w:r w:rsidR="0021727F" w:rsidRPr="001566BA">
        <w:t>микрозайм</w:t>
      </w:r>
      <w:r w:rsidR="00AD3202">
        <w:t>ов</w:t>
      </w:r>
      <w:proofErr w:type="spellEnd"/>
      <w:r w:rsidR="0021727F" w:rsidRPr="001566BA">
        <w:t xml:space="preserve"> на общую сумму </w:t>
      </w:r>
      <w:r w:rsidR="00AD3202">
        <w:t>14</w:t>
      </w:r>
      <w:r w:rsidR="0021727F" w:rsidRPr="001566BA">
        <w:t> </w:t>
      </w:r>
      <w:r w:rsidR="00AD3202">
        <w:t>892</w:t>
      </w:r>
      <w:r w:rsidR="0021727F" w:rsidRPr="001566BA">
        <w:t xml:space="preserve"> тыс. руб.</w:t>
      </w:r>
      <w:r w:rsidR="00CC4A64">
        <w:t xml:space="preserve">, в 2018 году по состоянию на 01.10.2018 года выдано 6 </w:t>
      </w:r>
      <w:proofErr w:type="spellStart"/>
      <w:r w:rsidR="00CC4A64">
        <w:t>микрозаймов</w:t>
      </w:r>
      <w:proofErr w:type="spellEnd"/>
      <w:r w:rsidR="00CC4A64">
        <w:t xml:space="preserve"> на общую сумму 10 350 тыс. руб.</w:t>
      </w:r>
    </w:p>
    <w:p w:rsidR="00EA39B9" w:rsidRPr="001566BA" w:rsidRDefault="00EA39B9" w:rsidP="008A461C">
      <w:pPr>
        <w:ind w:firstLine="709"/>
        <w:jc w:val="both"/>
      </w:pPr>
    </w:p>
    <w:p w:rsidR="00A968E4" w:rsidRPr="001566BA" w:rsidRDefault="00A968E4" w:rsidP="005732CF">
      <w:pPr>
        <w:pStyle w:val="a7"/>
        <w:numPr>
          <w:ilvl w:val="0"/>
          <w:numId w:val="1"/>
        </w:numPr>
        <w:jc w:val="center"/>
        <w:rPr>
          <w:b/>
        </w:rPr>
      </w:pPr>
      <w:r w:rsidRPr="001566BA">
        <w:rPr>
          <w:b/>
        </w:rPr>
        <w:t xml:space="preserve">Информация о мерах, принимаемых на уровне субъекта </w:t>
      </w:r>
      <w:proofErr w:type="gramStart"/>
      <w:r w:rsidRPr="001566BA">
        <w:rPr>
          <w:b/>
        </w:rPr>
        <w:t>Российской</w:t>
      </w:r>
      <w:proofErr w:type="gramEnd"/>
    </w:p>
    <w:p w:rsidR="000F477E" w:rsidRPr="001566BA" w:rsidRDefault="00A968E4" w:rsidP="005732CF">
      <w:pPr>
        <w:jc w:val="center"/>
        <w:rPr>
          <w:b/>
        </w:rPr>
      </w:pPr>
      <w:r w:rsidRPr="001566BA">
        <w:rPr>
          <w:b/>
        </w:rPr>
        <w:t>Федерации и муниципального образования для стабилизации и развития ситуации в моногороде.</w:t>
      </w:r>
    </w:p>
    <w:p w:rsidR="005732CF" w:rsidRPr="001566BA" w:rsidRDefault="005732CF" w:rsidP="005732CF">
      <w:pPr>
        <w:jc w:val="center"/>
        <w:rPr>
          <w:b/>
        </w:rPr>
      </w:pPr>
    </w:p>
    <w:p w:rsidR="003E1E0D" w:rsidRDefault="003E1E0D" w:rsidP="00E45521">
      <w:pPr>
        <w:ind w:firstLine="568"/>
        <w:jc w:val="both"/>
        <w:rPr>
          <w:color w:val="000000"/>
        </w:rPr>
      </w:pPr>
      <w:r>
        <w:rPr>
          <w:color w:val="000000"/>
        </w:rPr>
        <w:t xml:space="preserve">Городское поселение Тутаев относится к категории </w:t>
      </w:r>
      <w:proofErr w:type="spellStart"/>
      <w:r>
        <w:rPr>
          <w:color w:val="000000"/>
        </w:rPr>
        <w:t>монопрофильных</w:t>
      </w:r>
      <w:proofErr w:type="spellEnd"/>
      <w:r>
        <w:rPr>
          <w:color w:val="000000"/>
        </w:rPr>
        <w:t xml:space="preserve"> муниципальных образований, в которых имеются риски ухудшения социально-экономического положения (категория 2) согласно Перечню </w:t>
      </w:r>
      <w:proofErr w:type="spellStart"/>
      <w:r>
        <w:rPr>
          <w:color w:val="000000"/>
        </w:rPr>
        <w:t>монопрофильных</w:t>
      </w:r>
      <w:proofErr w:type="spellEnd"/>
      <w:r>
        <w:rPr>
          <w:color w:val="000000"/>
        </w:rPr>
        <w:t xml:space="preserve"> муниципальных образований Российской Федерации (моногородов), утвержденному распоряжением Правительства Российской Федерации от 29 июля 2014г. № 1398-р. </w:t>
      </w:r>
    </w:p>
    <w:p w:rsidR="00E45521" w:rsidRPr="00C809D2" w:rsidRDefault="003E1E0D" w:rsidP="00E45521">
      <w:pPr>
        <w:ind w:firstLine="568"/>
        <w:jc w:val="both"/>
        <w:rPr>
          <w:color w:val="000000"/>
        </w:rPr>
      </w:pPr>
      <w:r>
        <w:rPr>
          <w:color w:val="000000"/>
        </w:rPr>
        <w:lastRenderedPageBreak/>
        <w:t xml:space="preserve">В целях преодоления негативных тенденций </w:t>
      </w:r>
      <w:r w:rsidR="00E45521" w:rsidRPr="00C809D2">
        <w:rPr>
          <w:color w:val="000000"/>
        </w:rPr>
        <w:t xml:space="preserve">направлена </w:t>
      </w:r>
      <w:r w:rsidR="00E9242A">
        <w:rPr>
          <w:color w:val="000000"/>
        </w:rPr>
        <w:t xml:space="preserve">соответствующая заявка </w:t>
      </w:r>
      <w:r w:rsidR="00E45521" w:rsidRPr="00C809D2">
        <w:rPr>
          <w:color w:val="000000"/>
        </w:rPr>
        <w:t xml:space="preserve">на создание </w:t>
      </w:r>
      <w:r w:rsidR="00E9242A">
        <w:rPr>
          <w:color w:val="000000"/>
        </w:rPr>
        <w:t>территории опережающего социально-экономического развития</w:t>
      </w:r>
      <w:r w:rsidR="00E45521" w:rsidRPr="00C809D2">
        <w:rPr>
          <w:color w:val="000000"/>
        </w:rPr>
        <w:t xml:space="preserve">. В итоге Постановлением Правительства Российской Федерации от 28.09.2017 № 1170 «О создании территории опережающего социально-экономического развития «Тутаев» в сентябре 2017 года присвоен статус ТОСЭР на территории муниципального образования городское поселение Тутаев Ярославской области. </w:t>
      </w:r>
    </w:p>
    <w:p w:rsidR="00E9242A" w:rsidRDefault="00E9242A" w:rsidP="00E45521">
      <w:pPr>
        <w:ind w:firstLine="568"/>
        <w:jc w:val="both"/>
        <w:rPr>
          <w:color w:val="000000"/>
        </w:rPr>
      </w:pPr>
      <w:r>
        <w:rPr>
          <w:color w:val="000000"/>
        </w:rPr>
        <w:t xml:space="preserve">В решении задач развития экономики ГП Тутаев важную роль играет промышленный сектор. Большая часть отгруженных товаров приходится на обрабатывающее производство. Производственная специализация ГП Тутаев связана с машиностроением. </w:t>
      </w:r>
    </w:p>
    <w:p w:rsidR="00B535C9" w:rsidRDefault="00E9242A" w:rsidP="00B535C9">
      <w:pPr>
        <w:ind w:firstLine="568"/>
        <w:jc w:val="both"/>
        <w:rPr>
          <w:color w:val="000000"/>
        </w:rPr>
      </w:pPr>
      <w:r>
        <w:rPr>
          <w:color w:val="000000"/>
        </w:rPr>
        <w:t xml:space="preserve">  </w:t>
      </w:r>
      <w:r w:rsidR="00B535C9" w:rsidRPr="00C809D2">
        <w:rPr>
          <w:color w:val="000000"/>
        </w:rPr>
        <w:t>Организация ТОСЭР в Тутаеве – это качественное развитие территории, укрепление экономического потенциала, повышение уровня жизни населения. Предприниматели, получившие статус резидентов ТОСЭР, получат возможность успешно реализовывать инвестиционные проекты в условиях существенных налоговых льгот. А это, безусловно, положительно скажется на инвестиционной привлекательности города.</w:t>
      </w:r>
    </w:p>
    <w:p w:rsidR="00C65300" w:rsidRDefault="00B535C9" w:rsidP="00C65300">
      <w:pPr>
        <w:ind w:firstLine="568"/>
        <w:jc w:val="both"/>
        <w:rPr>
          <w:color w:val="000000"/>
        </w:rPr>
      </w:pPr>
      <w:r>
        <w:rPr>
          <w:color w:val="000000"/>
        </w:rPr>
        <w:t xml:space="preserve">Привлеченные инвестиции, в свою очередь, будут способствовать созданию новых рабочих мест, что позволит предотвратить возникновение социальной напряженности в городе, где значительная часть экономически активного населения работает на градообразующем предприятии. Создание новых производств позволит свести к минимуму </w:t>
      </w:r>
      <w:proofErr w:type="spellStart"/>
      <w:r>
        <w:rPr>
          <w:color w:val="000000"/>
        </w:rPr>
        <w:t>внутрирегиональную</w:t>
      </w:r>
      <w:proofErr w:type="spellEnd"/>
      <w:r>
        <w:rPr>
          <w:color w:val="000000"/>
        </w:rPr>
        <w:t xml:space="preserve"> миграцию квалифицированных кадров в областной центр. В долгосрочной перспективе численность экономически активного населения будет увеличиваться за счет омоложения населения и притока новой рабочей силы из других городов. Это будет способствовать </w:t>
      </w:r>
      <w:r w:rsidR="00C65300">
        <w:rPr>
          <w:color w:val="000000"/>
        </w:rPr>
        <w:t>увеличению инвестиционной привлекательности города и региона в целом.</w:t>
      </w:r>
    </w:p>
    <w:p w:rsidR="001A460D" w:rsidRDefault="00AF3AD2" w:rsidP="00C65300">
      <w:pPr>
        <w:ind w:firstLine="568"/>
        <w:jc w:val="both"/>
        <w:rPr>
          <w:color w:val="000000"/>
        </w:rPr>
      </w:pPr>
      <w:r>
        <w:rPr>
          <w:color w:val="000000"/>
        </w:rPr>
        <w:t>В соответствии с</w:t>
      </w:r>
      <w:r w:rsidR="00FD0682">
        <w:rPr>
          <w:color w:val="000000"/>
        </w:rPr>
        <w:t xml:space="preserve"> соглашени</w:t>
      </w:r>
      <w:r>
        <w:rPr>
          <w:color w:val="000000"/>
        </w:rPr>
        <w:t>ем</w:t>
      </w:r>
      <w:r w:rsidR="00FD0682">
        <w:rPr>
          <w:color w:val="000000"/>
        </w:rPr>
        <w:t xml:space="preserve"> о создании на территории городского поселения Тутаев Ярославской области те</w:t>
      </w:r>
      <w:r w:rsidR="005D73C2">
        <w:rPr>
          <w:color w:val="000000"/>
        </w:rPr>
        <w:t xml:space="preserve">рритории опережающего социально-экономического развития «Тутаев» от 17.11.2017 № с-235-сш/д14 планируется создать </w:t>
      </w:r>
      <w:r w:rsidR="001A460D">
        <w:rPr>
          <w:color w:val="000000"/>
        </w:rPr>
        <w:t xml:space="preserve">на территории моногорода Тутаева 51 </w:t>
      </w:r>
      <w:r w:rsidR="004A02AE">
        <w:rPr>
          <w:color w:val="000000"/>
        </w:rPr>
        <w:t xml:space="preserve">новое </w:t>
      </w:r>
      <w:r w:rsidR="001A460D">
        <w:rPr>
          <w:color w:val="000000"/>
        </w:rPr>
        <w:t xml:space="preserve">рабочее место </w:t>
      </w:r>
      <w:r w:rsidR="005D73C2">
        <w:rPr>
          <w:color w:val="000000"/>
        </w:rPr>
        <w:t>5</w:t>
      </w:r>
      <w:r w:rsidR="004A02AE">
        <w:rPr>
          <w:color w:val="000000"/>
        </w:rPr>
        <w:t>-ю предприятиями -</w:t>
      </w:r>
      <w:r w:rsidR="005D73C2">
        <w:rPr>
          <w:color w:val="000000"/>
        </w:rPr>
        <w:t xml:space="preserve"> резидент</w:t>
      </w:r>
      <w:r w:rsidR="001A460D">
        <w:rPr>
          <w:color w:val="000000"/>
        </w:rPr>
        <w:t xml:space="preserve">ами. На сегодняшний день подали заявки для заключения соглашения </w:t>
      </w:r>
      <w:r w:rsidR="00964F39">
        <w:rPr>
          <w:color w:val="000000"/>
        </w:rPr>
        <w:t xml:space="preserve">об осуществлении деятельности на территории опережающего социально-экономического развития, созданной на территории моногорода Тутаева Ярославской области </w:t>
      </w:r>
      <w:r w:rsidR="001A460D">
        <w:rPr>
          <w:color w:val="000000"/>
        </w:rPr>
        <w:t>2 предприятия:</w:t>
      </w:r>
    </w:p>
    <w:p w:rsidR="004A02AE" w:rsidRDefault="004A02AE" w:rsidP="00C65300">
      <w:pPr>
        <w:ind w:firstLine="568"/>
        <w:jc w:val="both"/>
        <w:rPr>
          <w:color w:val="000000"/>
        </w:rPr>
      </w:pPr>
      <w:r>
        <w:rPr>
          <w:color w:val="000000"/>
        </w:rPr>
        <w:t>- ООО «Завод Волга Полимер», инвестиционный проект: «Производство ленты упаковочной полипропиленовой»</w:t>
      </w:r>
      <w:r w:rsidR="00513EF4">
        <w:rPr>
          <w:color w:val="000000"/>
        </w:rPr>
        <w:t xml:space="preserve">, при реализации инвестиционного проекта </w:t>
      </w:r>
      <w:proofErr w:type="gramStart"/>
      <w:r w:rsidR="00513EF4">
        <w:rPr>
          <w:color w:val="000000"/>
        </w:rPr>
        <w:t>будет создано 57 новых рабочих мест и объем капитальных вложений состав</w:t>
      </w:r>
      <w:r w:rsidR="00C71B38">
        <w:rPr>
          <w:color w:val="000000"/>
        </w:rPr>
        <w:t>и</w:t>
      </w:r>
      <w:r w:rsidR="00513EF4">
        <w:rPr>
          <w:color w:val="000000"/>
        </w:rPr>
        <w:t>т</w:t>
      </w:r>
      <w:proofErr w:type="gramEnd"/>
      <w:r w:rsidR="00513EF4">
        <w:rPr>
          <w:color w:val="000000"/>
        </w:rPr>
        <w:t xml:space="preserve"> </w:t>
      </w:r>
      <w:r w:rsidR="00C71B38">
        <w:rPr>
          <w:color w:val="000000"/>
        </w:rPr>
        <w:t>13,0 млн. руб.</w:t>
      </w:r>
      <w:r>
        <w:rPr>
          <w:color w:val="000000"/>
        </w:rPr>
        <w:t>;</w:t>
      </w:r>
    </w:p>
    <w:p w:rsidR="004A02AE" w:rsidRDefault="004A02AE" w:rsidP="00C65300">
      <w:pPr>
        <w:ind w:firstLine="568"/>
        <w:jc w:val="both"/>
        <w:rPr>
          <w:color w:val="000000"/>
        </w:rPr>
      </w:pPr>
      <w:r>
        <w:rPr>
          <w:color w:val="000000"/>
        </w:rPr>
        <w:t>- ООО «СПТК АРМТТ», инвестиционный проект: «Создание производственной площадки по механической обработке металлических изделий»</w:t>
      </w:r>
      <w:r w:rsidR="00C71B38" w:rsidRPr="00C71B38">
        <w:rPr>
          <w:color w:val="000000"/>
        </w:rPr>
        <w:t xml:space="preserve"> </w:t>
      </w:r>
      <w:r w:rsidR="00C71B38">
        <w:rPr>
          <w:color w:val="000000"/>
        </w:rPr>
        <w:t xml:space="preserve">при реализации инвестиционного проекта </w:t>
      </w:r>
      <w:proofErr w:type="gramStart"/>
      <w:r w:rsidR="00C71B38">
        <w:rPr>
          <w:color w:val="000000"/>
        </w:rPr>
        <w:t>будет создано 105 новых рабочих мест и объем капитальных вложений составит</w:t>
      </w:r>
      <w:proofErr w:type="gramEnd"/>
      <w:r w:rsidR="00C71B38">
        <w:rPr>
          <w:color w:val="000000"/>
        </w:rPr>
        <w:t xml:space="preserve"> 135,41 млн. руб</w:t>
      </w:r>
      <w:r>
        <w:rPr>
          <w:color w:val="000000"/>
        </w:rPr>
        <w:t xml:space="preserve">. </w:t>
      </w:r>
    </w:p>
    <w:p w:rsidR="00C71B38" w:rsidRDefault="00C71B38" w:rsidP="00C65300">
      <w:pPr>
        <w:ind w:firstLine="568"/>
        <w:jc w:val="both"/>
        <w:rPr>
          <w:color w:val="000000"/>
        </w:rPr>
      </w:pPr>
      <w:r>
        <w:rPr>
          <w:color w:val="000000"/>
        </w:rPr>
        <w:t xml:space="preserve">До конца 2018 года планируют подать заявку </w:t>
      </w:r>
      <w:r w:rsidR="00611B59">
        <w:rPr>
          <w:color w:val="000000"/>
        </w:rPr>
        <w:t xml:space="preserve">для заключения соглашения об осуществлении деятельности на территории опережающего социально-экономического развития, созданной на территории моногорода Тутаева Ярославской области </w:t>
      </w:r>
      <w:r>
        <w:rPr>
          <w:color w:val="000000"/>
        </w:rPr>
        <w:t>в ТОСЭР ещё 3-и предприятия.</w:t>
      </w:r>
    </w:p>
    <w:p w:rsidR="00EB5CE5" w:rsidRDefault="005D73C2" w:rsidP="00C65300">
      <w:pPr>
        <w:ind w:firstLine="568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342AF" w:rsidRPr="001566BA" w:rsidRDefault="007342AF" w:rsidP="005732CF">
      <w:pPr>
        <w:pStyle w:val="a7"/>
        <w:numPr>
          <w:ilvl w:val="0"/>
          <w:numId w:val="1"/>
        </w:numPr>
        <w:tabs>
          <w:tab w:val="left" w:pos="426"/>
        </w:tabs>
        <w:jc w:val="center"/>
        <w:rPr>
          <w:b/>
        </w:rPr>
      </w:pPr>
      <w:r w:rsidRPr="001566BA">
        <w:rPr>
          <w:b/>
        </w:rPr>
        <w:t>Информация об объемах финансового обеспечения реализации мероприятий</w:t>
      </w:r>
    </w:p>
    <w:p w:rsidR="007342AF" w:rsidRPr="001566BA" w:rsidRDefault="007342AF" w:rsidP="005732CF">
      <w:pPr>
        <w:jc w:val="center"/>
        <w:rPr>
          <w:b/>
        </w:rPr>
      </w:pPr>
      <w:r w:rsidRPr="001566BA">
        <w:rPr>
          <w:b/>
        </w:rPr>
        <w:t>за счет бюджетов всех уровней и внебюджетных источников (федеральный бюджет, региональный бюджет, местный бюджет, внебюджетные источники), которые осуществляются на территории моногорода, в том числе на поддержку и развитие градообразующих организаций (по направлениям).</w:t>
      </w:r>
    </w:p>
    <w:p w:rsidR="007342AF" w:rsidRPr="001566BA" w:rsidRDefault="007342AF" w:rsidP="007342AF">
      <w:pPr>
        <w:jc w:val="both"/>
        <w:rPr>
          <w:b/>
        </w:rPr>
      </w:pPr>
    </w:p>
    <w:p w:rsidR="007342AF" w:rsidRDefault="007342AF" w:rsidP="007342AF">
      <w:pPr>
        <w:jc w:val="both"/>
      </w:pPr>
      <w:r w:rsidRPr="001566BA">
        <w:rPr>
          <w:b/>
        </w:rPr>
        <w:tab/>
      </w:r>
      <w:r w:rsidR="00886D16" w:rsidRPr="001566BA">
        <w:t>Финансировани</w:t>
      </w:r>
      <w:r w:rsidR="009463FF" w:rsidRPr="001566BA">
        <w:t>я</w:t>
      </w:r>
      <w:r w:rsidR="00886D16" w:rsidRPr="001566BA">
        <w:t xml:space="preserve"> </w:t>
      </w:r>
      <w:r w:rsidR="009463FF" w:rsidRPr="001566BA">
        <w:t>на реализацию мероприятий за счет бюджетов всех уровней на поддержку и развитие градообразующей организации не предусмотрено.</w:t>
      </w:r>
    </w:p>
    <w:p w:rsidR="00AF61CB" w:rsidRPr="00C10518" w:rsidRDefault="00AF61CB" w:rsidP="007342AF">
      <w:pPr>
        <w:jc w:val="both"/>
      </w:pPr>
    </w:p>
    <w:p w:rsidR="007342AF" w:rsidRPr="001566BA" w:rsidRDefault="007342AF" w:rsidP="00A968E4">
      <w:pPr>
        <w:pStyle w:val="a7"/>
        <w:jc w:val="both"/>
        <w:rPr>
          <w:b/>
        </w:rPr>
      </w:pPr>
    </w:p>
    <w:p w:rsidR="000F477E" w:rsidRPr="001566BA" w:rsidRDefault="00A968E4" w:rsidP="005732CF">
      <w:pPr>
        <w:pStyle w:val="a7"/>
        <w:numPr>
          <w:ilvl w:val="0"/>
          <w:numId w:val="1"/>
        </w:numPr>
        <w:jc w:val="center"/>
        <w:rPr>
          <w:b/>
        </w:rPr>
      </w:pPr>
      <w:r w:rsidRPr="001566BA">
        <w:rPr>
          <w:b/>
        </w:rPr>
        <w:t>Перечень основных проблем, сдерживающих социально-экономическое развитие моногорода.</w:t>
      </w:r>
    </w:p>
    <w:p w:rsidR="005732CF" w:rsidRPr="001566BA" w:rsidRDefault="005732CF" w:rsidP="005732CF">
      <w:pPr>
        <w:pStyle w:val="a7"/>
        <w:rPr>
          <w:b/>
        </w:rPr>
      </w:pPr>
    </w:p>
    <w:p w:rsidR="007342AF" w:rsidRPr="001566BA" w:rsidRDefault="00A968E4" w:rsidP="008A461C">
      <w:pPr>
        <w:ind w:firstLine="709"/>
        <w:jc w:val="both"/>
      </w:pPr>
      <w:r w:rsidRPr="001566BA">
        <w:t>- неблагоприятное географическое положение, а именно транспортная удаленность от центра;</w:t>
      </w:r>
    </w:p>
    <w:p w:rsidR="007342AF" w:rsidRPr="001566BA" w:rsidRDefault="00A968E4" w:rsidP="008A461C">
      <w:pPr>
        <w:ind w:firstLine="709"/>
        <w:jc w:val="both"/>
      </w:pPr>
      <w:r w:rsidRPr="001566BA">
        <w:t xml:space="preserve"> - низкая инвестиционная и инновационная активность местных предприятий; </w:t>
      </w:r>
    </w:p>
    <w:p w:rsidR="007342AF" w:rsidRPr="001566BA" w:rsidRDefault="00A968E4" w:rsidP="008A461C">
      <w:pPr>
        <w:ind w:firstLine="709"/>
        <w:jc w:val="both"/>
      </w:pPr>
      <w:r w:rsidRPr="001566BA">
        <w:t xml:space="preserve">- ограниченность рынков сбыта; </w:t>
      </w:r>
    </w:p>
    <w:p w:rsidR="007342AF" w:rsidRPr="001566BA" w:rsidRDefault="00A968E4" w:rsidP="008A461C">
      <w:pPr>
        <w:ind w:firstLine="709"/>
        <w:jc w:val="both"/>
      </w:pPr>
      <w:r w:rsidRPr="001566BA">
        <w:t xml:space="preserve">- дефицит финансовых ресурсов; </w:t>
      </w:r>
    </w:p>
    <w:p w:rsidR="007342AF" w:rsidRPr="001566BA" w:rsidRDefault="00A968E4" w:rsidP="008A461C">
      <w:pPr>
        <w:ind w:firstLine="709"/>
        <w:jc w:val="both"/>
      </w:pPr>
      <w:r w:rsidRPr="001566BA">
        <w:t xml:space="preserve">- сокращение численности населения за счет естественной убыли и миграционного оттока; </w:t>
      </w:r>
    </w:p>
    <w:p w:rsidR="007342AF" w:rsidRPr="001566BA" w:rsidRDefault="00A968E4" w:rsidP="008A461C">
      <w:pPr>
        <w:ind w:firstLine="709"/>
        <w:jc w:val="both"/>
      </w:pPr>
      <w:r w:rsidRPr="001566BA">
        <w:t>- отток квалифицированных кадров;</w:t>
      </w:r>
    </w:p>
    <w:p w:rsidR="007342AF" w:rsidRPr="001566BA" w:rsidRDefault="00A968E4" w:rsidP="008A461C">
      <w:pPr>
        <w:ind w:firstLine="709"/>
        <w:jc w:val="both"/>
      </w:pPr>
      <w:r w:rsidRPr="001566BA">
        <w:t>- наличие ветхого и аварийного жилья;</w:t>
      </w:r>
    </w:p>
    <w:p w:rsidR="005732CF" w:rsidRPr="001566BA" w:rsidRDefault="005732CF" w:rsidP="008A461C">
      <w:pPr>
        <w:ind w:firstLine="709"/>
        <w:jc w:val="both"/>
      </w:pPr>
      <w:r w:rsidRPr="001566BA">
        <w:t>- критический износ объектов и сетей инженерной и коммунальной инфраструктуры (сетей водоснабжения, водоо</w:t>
      </w:r>
      <w:r w:rsidR="00D96675">
        <w:t>тведения, сетей теплоснабжения).</w:t>
      </w:r>
    </w:p>
    <w:sectPr w:rsidR="005732CF" w:rsidRPr="001566BA" w:rsidSect="00D04B7B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71C" w:rsidRDefault="002B571C" w:rsidP="00D04B7B">
      <w:r>
        <w:separator/>
      </w:r>
    </w:p>
  </w:endnote>
  <w:endnote w:type="continuationSeparator" w:id="0">
    <w:p w:rsidR="002B571C" w:rsidRDefault="002B571C" w:rsidP="00D04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71C" w:rsidRDefault="002B571C" w:rsidP="00D04B7B">
      <w:r>
        <w:separator/>
      </w:r>
    </w:p>
  </w:footnote>
  <w:footnote w:type="continuationSeparator" w:id="0">
    <w:p w:rsidR="002B571C" w:rsidRDefault="002B571C" w:rsidP="00D04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846737"/>
      <w:docPartObj>
        <w:docPartGallery w:val="Page Numbers (Top of Page)"/>
        <w:docPartUnique/>
      </w:docPartObj>
    </w:sdtPr>
    <w:sdtContent>
      <w:p w:rsidR="0010787D" w:rsidRDefault="0010787D">
        <w:pPr>
          <w:pStyle w:val="af"/>
          <w:jc w:val="center"/>
        </w:pPr>
        <w:fldSimple w:instr=" PAGE   \* MERGEFORMAT ">
          <w:r w:rsidR="00C246E4">
            <w:rPr>
              <w:noProof/>
            </w:rPr>
            <w:t>2</w:t>
          </w:r>
        </w:fldSimple>
      </w:p>
    </w:sdtContent>
  </w:sdt>
  <w:p w:rsidR="0010787D" w:rsidRPr="00D04B7B" w:rsidRDefault="0010787D">
    <w:pPr>
      <w:pStyle w:val="af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10B69"/>
    <w:multiLevelType w:val="hybridMultilevel"/>
    <w:tmpl w:val="58FE8E24"/>
    <w:lvl w:ilvl="0" w:tplc="E13698CC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1EF844E0"/>
    <w:multiLevelType w:val="hybridMultilevel"/>
    <w:tmpl w:val="77E29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036BF"/>
    <w:multiLevelType w:val="hybridMultilevel"/>
    <w:tmpl w:val="28E8D8F8"/>
    <w:lvl w:ilvl="0" w:tplc="4FD861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B41F4"/>
    <w:multiLevelType w:val="hybridMultilevel"/>
    <w:tmpl w:val="C2EC7C96"/>
    <w:lvl w:ilvl="0" w:tplc="D4509646">
      <w:start w:val="1"/>
      <w:numFmt w:val="bullet"/>
      <w:lvlText w:val=""/>
      <w:lvlJc w:val="left"/>
      <w:pPr>
        <w:tabs>
          <w:tab w:val="num" w:pos="284"/>
        </w:tabs>
        <w:ind w:left="284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20E6"/>
    <w:rsid w:val="0000072A"/>
    <w:rsid w:val="000007C5"/>
    <w:rsid w:val="00013FAE"/>
    <w:rsid w:val="00015090"/>
    <w:rsid w:val="000318F5"/>
    <w:rsid w:val="00034C10"/>
    <w:rsid w:val="0004451E"/>
    <w:rsid w:val="000763B7"/>
    <w:rsid w:val="00084B40"/>
    <w:rsid w:val="00090BEB"/>
    <w:rsid w:val="00094A8E"/>
    <w:rsid w:val="00096149"/>
    <w:rsid w:val="000F477E"/>
    <w:rsid w:val="000F6741"/>
    <w:rsid w:val="00100D5B"/>
    <w:rsid w:val="0010787D"/>
    <w:rsid w:val="001145C5"/>
    <w:rsid w:val="00116E86"/>
    <w:rsid w:val="00122FA8"/>
    <w:rsid w:val="00130286"/>
    <w:rsid w:val="00146172"/>
    <w:rsid w:val="00147B8B"/>
    <w:rsid w:val="00152E67"/>
    <w:rsid w:val="00155C89"/>
    <w:rsid w:val="001566BA"/>
    <w:rsid w:val="00165768"/>
    <w:rsid w:val="001A460D"/>
    <w:rsid w:val="001B245F"/>
    <w:rsid w:val="001C3F72"/>
    <w:rsid w:val="001D4FE3"/>
    <w:rsid w:val="001D6B65"/>
    <w:rsid w:val="001E58B2"/>
    <w:rsid w:val="002109BA"/>
    <w:rsid w:val="0021727F"/>
    <w:rsid w:val="002563A3"/>
    <w:rsid w:val="00264FBA"/>
    <w:rsid w:val="00271BBE"/>
    <w:rsid w:val="00284BA6"/>
    <w:rsid w:val="00285072"/>
    <w:rsid w:val="002925BF"/>
    <w:rsid w:val="00295E25"/>
    <w:rsid w:val="002A20E1"/>
    <w:rsid w:val="002B571C"/>
    <w:rsid w:val="002B608F"/>
    <w:rsid w:val="002E0072"/>
    <w:rsid w:val="002E0F2F"/>
    <w:rsid w:val="002F1F72"/>
    <w:rsid w:val="002F6FE3"/>
    <w:rsid w:val="00306F3B"/>
    <w:rsid w:val="003255A4"/>
    <w:rsid w:val="00334816"/>
    <w:rsid w:val="00336AA7"/>
    <w:rsid w:val="00352650"/>
    <w:rsid w:val="00371838"/>
    <w:rsid w:val="00374BF2"/>
    <w:rsid w:val="0037514F"/>
    <w:rsid w:val="003935F6"/>
    <w:rsid w:val="003A2820"/>
    <w:rsid w:val="003E1E0D"/>
    <w:rsid w:val="00400D90"/>
    <w:rsid w:val="004069D3"/>
    <w:rsid w:val="00417A4B"/>
    <w:rsid w:val="004314BE"/>
    <w:rsid w:val="004441CC"/>
    <w:rsid w:val="00461DC4"/>
    <w:rsid w:val="004634A8"/>
    <w:rsid w:val="004650B5"/>
    <w:rsid w:val="004657D8"/>
    <w:rsid w:val="00466B3E"/>
    <w:rsid w:val="004760D0"/>
    <w:rsid w:val="00477CA4"/>
    <w:rsid w:val="00481B74"/>
    <w:rsid w:val="00483FAD"/>
    <w:rsid w:val="004A02AE"/>
    <w:rsid w:val="004A204F"/>
    <w:rsid w:val="004A4025"/>
    <w:rsid w:val="004B3C94"/>
    <w:rsid w:val="004C2010"/>
    <w:rsid w:val="004D4657"/>
    <w:rsid w:val="004D5244"/>
    <w:rsid w:val="004D74B1"/>
    <w:rsid w:val="004E70DB"/>
    <w:rsid w:val="00504C6A"/>
    <w:rsid w:val="00504D2C"/>
    <w:rsid w:val="00513EF4"/>
    <w:rsid w:val="0051595A"/>
    <w:rsid w:val="00546747"/>
    <w:rsid w:val="00567761"/>
    <w:rsid w:val="005732CF"/>
    <w:rsid w:val="005874F5"/>
    <w:rsid w:val="0059356C"/>
    <w:rsid w:val="00593B79"/>
    <w:rsid w:val="0059637E"/>
    <w:rsid w:val="005A0E3E"/>
    <w:rsid w:val="005B0E49"/>
    <w:rsid w:val="005B4988"/>
    <w:rsid w:val="005D38E0"/>
    <w:rsid w:val="005D6CB2"/>
    <w:rsid w:val="005D73C2"/>
    <w:rsid w:val="005F42CD"/>
    <w:rsid w:val="00604E73"/>
    <w:rsid w:val="00606FF5"/>
    <w:rsid w:val="00611B59"/>
    <w:rsid w:val="00634F80"/>
    <w:rsid w:val="00656F16"/>
    <w:rsid w:val="00667994"/>
    <w:rsid w:val="00691967"/>
    <w:rsid w:val="006920B4"/>
    <w:rsid w:val="006A53EB"/>
    <w:rsid w:val="006C7B61"/>
    <w:rsid w:val="006D7255"/>
    <w:rsid w:val="006E3F4E"/>
    <w:rsid w:val="006F7502"/>
    <w:rsid w:val="0070566B"/>
    <w:rsid w:val="0071577C"/>
    <w:rsid w:val="007342AF"/>
    <w:rsid w:val="00736723"/>
    <w:rsid w:val="00737BF5"/>
    <w:rsid w:val="0074257B"/>
    <w:rsid w:val="00747D2A"/>
    <w:rsid w:val="00763960"/>
    <w:rsid w:val="00774C80"/>
    <w:rsid w:val="00781C02"/>
    <w:rsid w:val="007907EC"/>
    <w:rsid w:val="00794A5F"/>
    <w:rsid w:val="007E17FA"/>
    <w:rsid w:val="007E60F0"/>
    <w:rsid w:val="007F3614"/>
    <w:rsid w:val="0081079B"/>
    <w:rsid w:val="008530CB"/>
    <w:rsid w:val="00870629"/>
    <w:rsid w:val="00876F85"/>
    <w:rsid w:val="00886D16"/>
    <w:rsid w:val="008A3528"/>
    <w:rsid w:val="008A461C"/>
    <w:rsid w:val="008B035D"/>
    <w:rsid w:val="008B0F4A"/>
    <w:rsid w:val="008C045D"/>
    <w:rsid w:val="008F1736"/>
    <w:rsid w:val="008F4D9B"/>
    <w:rsid w:val="00907F6C"/>
    <w:rsid w:val="00910F13"/>
    <w:rsid w:val="009463FF"/>
    <w:rsid w:val="00964F39"/>
    <w:rsid w:val="00980B33"/>
    <w:rsid w:val="009F036C"/>
    <w:rsid w:val="00A32E26"/>
    <w:rsid w:val="00A341D2"/>
    <w:rsid w:val="00A349CE"/>
    <w:rsid w:val="00A35669"/>
    <w:rsid w:val="00A47E54"/>
    <w:rsid w:val="00A54D7B"/>
    <w:rsid w:val="00A607E7"/>
    <w:rsid w:val="00A654D5"/>
    <w:rsid w:val="00A80198"/>
    <w:rsid w:val="00A859F1"/>
    <w:rsid w:val="00A86894"/>
    <w:rsid w:val="00A968E4"/>
    <w:rsid w:val="00A973C6"/>
    <w:rsid w:val="00AA7720"/>
    <w:rsid w:val="00AD0B2E"/>
    <w:rsid w:val="00AD3202"/>
    <w:rsid w:val="00AF3AD2"/>
    <w:rsid w:val="00AF61CB"/>
    <w:rsid w:val="00AF69B5"/>
    <w:rsid w:val="00B0279A"/>
    <w:rsid w:val="00B15D22"/>
    <w:rsid w:val="00B208AE"/>
    <w:rsid w:val="00B26441"/>
    <w:rsid w:val="00B42670"/>
    <w:rsid w:val="00B535C9"/>
    <w:rsid w:val="00B8305A"/>
    <w:rsid w:val="00BA37DB"/>
    <w:rsid w:val="00BB7D02"/>
    <w:rsid w:val="00BC139E"/>
    <w:rsid w:val="00BC63A3"/>
    <w:rsid w:val="00BF3D6E"/>
    <w:rsid w:val="00C0205F"/>
    <w:rsid w:val="00C10518"/>
    <w:rsid w:val="00C246E4"/>
    <w:rsid w:val="00C26A41"/>
    <w:rsid w:val="00C4408E"/>
    <w:rsid w:val="00C53BD6"/>
    <w:rsid w:val="00C5462B"/>
    <w:rsid w:val="00C60135"/>
    <w:rsid w:val="00C65300"/>
    <w:rsid w:val="00C71B38"/>
    <w:rsid w:val="00C720E6"/>
    <w:rsid w:val="00C809D2"/>
    <w:rsid w:val="00C93E11"/>
    <w:rsid w:val="00C9408F"/>
    <w:rsid w:val="00CB32DD"/>
    <w:rsid w:val="00CC4A64"/>
    <w:rsid w:val="00CD2259"/>
    <w:rsid w:val="00CE6D40"/>
    <w:rsid w:val="00D03B12"/>
    <w:rsid w:val="00D04B7B"/>
    <w:rsid w:val="00D247E9"/>
    <w:rsid w:val="00D34003"/>
    <w:rsid w:val="00D739C0"/>
    <w:rsid w:val="00D75510"/>
    <w:rsid w:val="00D86D00"/>
    <w:rsid w:val="00D96675"/>
    <w:rsid w:val="00D97E8F"/>
    <w:rsid w:val="00DB01F0"/>
    <w:rsid w:val="00DC2806"/>
    <w:rsid w:val="00DD3F88"/>
    <w:rsid w:val="00DE1B39"/>
    <w:rsid w:val="00DE2982"/>
    <w:rsid w:val="00DF7023"/>
    <w:rsid w:val="00E078AC"/>
    <w:rsid w:val="00E32DA2"/>
    <w:rsid w:val="00E45521"/>
    <w:rsid w:val="00E7344F"/>
    <w:rsid w:val="00E81782"/>
    <w:rsid w:val="00E9242A"/>
    <w:rsid w:val="00E92701"/>
    <w:rsid w:val="00E9462E"/>
    <w:rsid w:val="00E97325"/>
    <w:rsid w:val="00EA356D"/>
    <w:rsid w:val="00EA39B9"/>
    <w:rsid w:val="00EB5CE5"/>
    <w:rsid w:val="00EC10E8"/>
    <w:rsid w:val="00EF1341"/>
    <w:rsid w:val="00EF60F6"/>
    <w:rsid w:val="00F07E4E"/>
    <w:rsid w:val="00F165B9"/>
    <w:rsid w:val="00F2069B"/>
    <w:rsid w:val="00F317D7"/>
    <w:rsid w:val="00F32FC4"/>
    <w:rsid w:val="00F54D17"/>
    <w:rsid w:val="00F54F1B"/>
    <w:rsid w:val="00F81670"/>
    <w:rsid w:val="00F92510"/>
    <w:rsid w:val="00F95325"/>
    <w:rsid w:val="00FA16F9"/>
    <w:rsid w:val="00FB4BF7"/>
    <w:rsid w:val="00FD0682"/>
    <w:rsid w:val="00FD1266"/>
    <w:rsid w:val="00FD1C01"/>
    <w:rsid w:val="00FD47A7"/>
    <w:rsid w:val="00FD5373"/>
    <w:rsid w:val="00FD5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20E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20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0E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53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7344F"/>
    <w:pPr>
      <w:ind w:left="720"/>
      <w:contextualSpacing/>
    </w:pPr>
  </w:style>
  <w:style w:type="paragraph" w:customStyle="1" w:styleId="a8">
    <w:name w:val="Заг_осн. тест"/>
    <w:basedOn w:val="a"/>
    <w:qFormat/>
    <w:rsid w:val="00E7344F"/>
    <w:pPr>
      <w:suppressAutoHyphens/>
      <w:spacing w:line="336" w:lineRule="auto"/>
      <w:ind w:firstLine="709"/>
      <w:jc w:val="both"/>
    </w:pPr>
    <w:rPr>
      <w:color w:val="000000"/>
      <w:spacing w:val="-2"/>
      <w:lang w:eastAsia="ar-SA"/>
    </w:rPr>
  </w:style>
  <w:style w:type="paragraph" w:styleId="a9">
    <w:name w:val="List Bullet"/>
    <w:basedOn w:val="a"/>
    <w:rsid w:val="00886D16"/>
    <w:pPr>
      <w:tabs>
        <w:tab w:val="num" w:pos="928"/>
      </w:tabs>
      <w:spacing w:after="60"/>
      <w:ind w:left="928" w:hanging="360"/>
    </w:pPr>
    <w:rPr>
      <w:rFonts w:eastAsia="Calibri"/>
      <w:sz w:val="28"/>
      <w:szCs w:val="28"/>
    </w:rPr>
  </w:style>
  <w:style w:type="paragraph" w:styleId="aa">
    <w:name w:val="Plain Text"/>
    <w:basedOn w:val="a"/>
    <w:link w:val="ab"/>
    <w:uiPriority w:val="99"/>
    <w:unhideWhenUsed/>
    <w:rsid w:val="006920B4"/>
    <w:rPr>
      <w:rFonts w:ascii="Consolas" w:eastAsia="Calibri" w:hAnsi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6920B4"/>
    <w:rPr>
      <w:rFonts w:ascii="Consolas" w:eastAsia="Calibri" w:hAnsi="Consolas" w:cs="Times New Roman"/>
      <w:sz w:val="21"/>
      <w:szCs w:val="21"/>
    </w:rPr>
  </w:style>
  <w:style w:type="paragraph" w:styleId="ac">
    <w:name w:val="Normal (Web)"/>
    <w:basedOn w:val="a"/>
    <w:uiPriority w:val="99"/>
    <w:semiHidden/>
    <w:unhideWhenUsed/>
    <w:rsid w:val="004069D3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747D2A"/>
    <w:pPr>
      <w:spacing w:after="120" w:line="480" w:lineRule="auto"/>
    </w:pPr>
    <w:rPr>
      <w:lang w:eastAsia="en-US"/>
    </w:rPr>
  </w:style>
  <w:style w:type="character" w:customStyle="1" w:styleId="20">
    <w:name w:val="Основной текст 2 Знак"/>
    <w:basedOn w:val="a0"/>
    <w:link w:val="2"/>
    <w:rsid w:val="00747D2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566B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B8305A"/>
    <w:rPr>
      <w:b/>
      <w:bCs/>
      <w:i w:val="0"/>
      <w:iCs w:val="0"/>
    </w:rPr>
  </w:style>
  <w:style w:type="character" w:styleId="ae">
    <w:name w:val="Hyperlink"/>
    <w:basedOn w:val="a0"/>
    <w:uiPriority w:val="99"/>
    <w:semiHidden/>
    <w:unhideWhenUsed/>
    <w:rsid w:val="007E17FA"/>
    <w:rPr>
      <w:strike w:val="0"/>
      <w:dstrike w:val="0"/>
      <w:color w:val="0066CC"/>
      <w:u w:val="none"/>
      <w:effect w:val="none"/>
    </w:rPr>
  </w:style>
  <w:style w:type="paragraph" w:styleId="af">
    <w:name w:val="header"/>
    <w:basedOn w:val="a"/>
    <w:link w:val="af0"/>
    <w:uiPriority w:val="99"/>
    <w:unhideWhenUsed/>
    <w:rsid w:val="00D04B7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04B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D04B7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D04B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20E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20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0E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53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404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3628">
                  <w:marLeft w:val="113"/>
                  <w:marRight w:val="1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3254">
                      <w:marLeft w:val="204"/>
                      <w:marRight w:val="91"/>
                      <w:marTop w:val="0"/>
                      <w:marBottom w:val="4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05031">
                          <w:marLeft w:val="0"/>
                          <w:marRight w:val="0"/>
                          <w:marTop w:val="0"/>
                          <w:marBottom w:val="5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2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06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9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526620">
                                          <w:marLeft w:val="0"/>
                                          <w:marRight w:val="368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18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2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informatcionnie_tehnologi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ndia.ru/text/category/regionalmznoe_razvitie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pandia.ru/text/category/zameshenie_import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byudzhetnaya_sistem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1FE59-316D-4A71-A67E-7E95A30F5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4982</Words>
  <Characters>28403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Баюнова</dc:creator>
  <cp:lastModifiedBy>user</cp:lastModifiedBy>
  <cp:revision>2</cp:revision>
  <cp:lastPrinted>2018-10-29T13:30:00Z</cp:lastPrinted>
  <dcterms:created xsi:type="dcterms:W3CDTF">2018-11-15T11:49:00Z</dcterms:created>
  <dcterms:modified xsi:type="dcterms:W3CDTF">2018-11-15T11:49:00Z</dcterms:modified>
</cp:coreProperties>
</file>