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FC" w:rsidRPr="00FE6DFC" w:rsidRDefault="00FE6DFC" w:rsidP="00FE6DFC">
      <w:pPr>
        <w:keepNext/>
        <w:spacing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FE6DFC" w:rsidRPr="00FE6DFC" w:rsidRDefault="00FE6DFC" w:rsidP="00FE6DF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6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proofErr w:type="gramEnd"/>
      <w:r w:rsidRPr="00FE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Главой Тутаевского муниципального района</w:t>
      </w:r>
    </w:p>
    <w:p w:rsidR="00FE6DFC" w:rsidRDefault="00FE6DFC" w:rsidP="00FE6DFC">
      <w:pPr>
        <w:keepNext/>
        <w:spacing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DFC">
        <w:rPr>
          <w:rFonts w:ascii="Times New Roman" w:eastAsia="Times New Roman" w:hAnsi="Times New Roman" w:cs="Times New Roman"/>
          <w:sz w:val="24"/>
          <w:szCs w:val="24"/>
          <w:lang w:eastAsia="ru-RU"/>
        </w:rPr>
        <w:t>Д.Р. Юнусов</w:t>
      </w:r>
      <w:r w:rsidR="003466B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</w:p>
    <w:p w:rsidR="00FE6DFC" w:rsidRPr="00085F37" w:rsidRDefault="00FE6DFC" w:rsidP="00FE6D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5F37">
        <w:rPr>
          <w:rFonts w:ascii="Times New Roman" w:hAnsi="Times New Roman" w:cs="Times New Roman"/>
          <w:sz w:val="24"/>
          <w:szCs w:val="24"/>
        </w:rPr>
        <w:t>__________________</w:t>
      </w:r>
    </w:p>
    <w:p w:rsidR="00FE6DFC" w:rsidRPr="00085F37" w:rsidRDefault="00FE6DFC" w:rsidP="00FE6DFC">
      <w:pPr>
        <w:jc w:val="right"/>
        <w:rPr>
          <w:rFonts w:ascii="Times New Roman" w:hAnsi="Times New Roman" w:cs="Times New Roman"/>
          <w:sz w:val="24"/>
          <w:szCs w:val="24"/>
        </w:rPr>
      </w:pPr>
      <w:r w:rsidRPr="00085F37">
        <w:rPr>
          <w:rFonts w:ascii="Times New Roman" w:hAnsi="Times New Roman" w:cs="Times New Roman"/>
          <w:sz w:val="24"/>
          <w:szCs w:val="24"/>
        </w:rPr>
        <w:t>(подпись)</w:t>
      </w:r>
    </w:p>
    <w:p w:rsidR="00FE6DFC" w:rsidRDefault="00FE6DFC" w:rsidP="00FE6DFC">
      <w:pPr>
        <w:keepNext/>
        <w:spacing w:line="240" w:lineRule="auto"/>
        <w:jc w:val="right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5F37">
        <w:rPr>
          <w:rFonts w:ascii="Times New Roman" w:hAnsi="Times New Roman" w:cs="Times New Roman"/>
          <w:sz w:val="24"/>
          <w:szCs w:val="24"/>
        </w:rPr>
        <w:t>«___» _____________ 2021</w:t>
      </w:r>
    </w:p>
    <w:p w:rsidR="00FE6DFC" w:rsidRDefault="00FE6DFC" w:rsidP="00FE6DF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40"/>
          <w:szCs w:val="24"/>
          <w:lang w:eastAsia="ru-RU"/>
        </w:rPr>
      </w:pPr>
    </w:p>
    <w:p w:rsidR="008B3815" w:rsidRPr="0066127D" w:rsidRDefault="008B3815" w:rsidP="008B381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0"/>
          <w:szCs w:val="24"/>
          <w:lang w:eastAsia="ru-RU"/>
        </w:rPr>
      </w:pPr>
      <w:r w:rsidRPr="0066127D">
        <w:rPr>
          <w:rFonts w:ascii="Arial" w:eastAsia="Times New Roman" w:hAnsi="Arial" w:cs="Arial"/>
          <w:b/>
          <w:noProof/>
          <w:sz w:val="32"/>
          <w:szCs w:val="20"/>
          <w:lang w:eastAsia="ru-RU"/>
        </w:rPr>
        <w:drawing>
          <wp:inline distT="0" distB="0" distL="0" distR="0" wp14:anchorId="17BDB137" wp14:editId="63444D37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815" w:rsidRPr="0066127D" w:rsidRDefault="008B3815" w:rsidP="008B3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B3815" w:rsidRPr="0066127D" w:rsidRDefault="008B3815" w:rsidP="008B38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7D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Совет</w:t>
      </w:r>
    </w:p>
    <w:p w:rsidR="008B3815" w:rsidRPr="00987E1A" w:rsidRDefault="008B3815" w:rsidP="00987E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7D">
        <w:rPr>
          <w:rFonts w:ascii="Times New Roman" w:eastAsia="Times New Roman" w:hAnsi="Times New Roman" w:cs="Times New Roman"/>
          <w:sz w:val="28"/>
          <w:szCs w:val="20"/>
          <w:lang w:eastAsia="ru-RU"/>
        </w:rPr>
        <w:t>Тутаевского муниципального района</w:t>
      </w:r>
    </w:p>
    <w:p w:rsidR="008B3815" w:rsidRPr="0066127D" w:rsidRDefault="008B3815" w:rsidP="008B38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48"/>
          <w:szCs w:val="20"/>
          <w:lang w:eastAsia="ru-RU"/>
        </w:rPr>
      </w:pPr>
      <w:r w:rsidRPr="0066127D">
        <w:rPr>
          <w:rFonts w:ascii="Times New Roman" w:eastAsia="Times New Roman" w:hAnsi="Times New Roman" w:cs="Times New Roman"/>
          <w:bCs/>
          <w:sz w:val="48"/>
          <w:szCs w:val="20"/>
          <w:lang w:eastAsia="ru-RU"/>
        </w:rPr>
        <w:t>РЕШЕНИЕ</w:t>
      </w:r>
    </w:p>
    <w:p w:rsidR="008B3815" w:rsidRPr="0066127D" w:rsidRDefault="008B3815" w:rsidP="008B38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B3815" w:rsidRPr="0066127D" w:rsidRDefault="008B3815" w:rsidP="008B38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61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Pr="00661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</w:p>
    <w:p w:rsidR="008B3815" w:rsidRDefault="008B3815" w:rsidP="008B3815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7D">
        <w:rPr>
          <w:rFonts w:ascii="Times New Roman" w:eastAsia="Times New Roman" w:hAnsi="Times New Roman" w:cs="Times New Roman"/>
          <w:sz w:val="28"/>
          <w:szCs w:val="20"/>
          <w:lang w:eastAsia="ru-RU"/>
        </w:rPr>
        <w:t>г. Тутаев</w:t>
      </w:r>
    </w:p>
    <w:p w:rsidR="008B3815" w:rsidRPr="002F5917" w:rsidRDefault="008B3815" w:rsidP="008B3815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5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2F5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определения части территории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Тутаевского муниципального района</w:t>
      </w:r>
      <w:r w:rsidRPr="002F5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предназначенной для реализации инициативных проектов</w:t>
      </w:r>
    </w:p>
    <w:p w:rsidR="008B3815" w:rsidRPr="0066127D" w:rsidRDefault="008B3815" w:rsidP="008B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70" w:rsidRPr="00D25770" w:rsidRDefault="008B3815" w:rsidP="00987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DA6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20.07.2020 №236-ФЗ «О внесении изменений в Федеральный закон </w:t>
      </w:r>
      <w:r w:rsidRPr="00DA67F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Тутаевского муниципального района, </w:t>
      </w:r>
      <w:r w:rsidRPr="006612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Совет Тутаевского муниципального района</w:t>
      </w:r>
    </w:p>
    <w:p w:rsidR="00D25770" w:rsidRPr="00D25770" w:rsidRDefault="00987E1A" w:rsidP="00D25770">
      <w:pPr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D25770" w:rsidRPr="00D25770" w:rsidRDefault="00D25770" w:rsidP="00D25770">
      <w:pPr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Утвердить Порядок определения части территории Тутаевского муниципального района, предназначенной для реализации инициативных проектов, согласно приложению.                                            </w:t>
      </w:r>
    </w:p>
    <w:p w:rsidR="00D25770" w:rsidRPr="00D25770" w:rsidRDefault="00987E1A" w:rsidP="00D25770">
      <w:pPr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D25770" w:rsidRPr="00D257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D25770" w:rsidRPr="00D2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</w:t>
      </w:r>
      <w:r w:rsidR="00D25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770" w:rsidRPr="00D25770" w:rsidRDefault="00D25770" w:rsidP="00D25770">
      <w:pPr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3. Опубликовать настоящее решение в </w:t>
      </w:r>
      <w:proofErr w:type="spellStart"/>
      <w:r w:rsidRPr="00D2577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Тутаевской</w:t>
      </w:r>
      <w:proofErr w:type="spellEnd"/>
      <w:r w:rsidRPr="00D2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муниципальной газете «Берега».</w:t>
      </w:r>
    </w:p>
    <w:p w:rsidR="00D25770" w:rsidRPr="00D25770" w:rsidRDefault="00D25770" w:rsidP="00D25770">
      <w:pPr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Настоящее решение вступает в силу </w:t>
      </w:r>
      <w:r w:rsidR="007F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Pr="00D2577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3815" w:rsidRPr="0066127D" w:rsidRDefault="008B3815" w:rsidP="00987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815" w:rsidRPr="0066127D" w:rsidRDefault="008B3815" w:rsidP="008B38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Муниципального Совета</w:t>
      </w:r>
    </w:p>
    <w:p w:rsidR="008B3815" w:rsidRDefault="008B3815" w:rsidP="008B38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        </w:t>
      </w:r>
      <w:r w:rsidR="00987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М.А. Ванюшкин</w:t>
      </w:r>
    </w:p>
    <w:p w:rsidR="00987E1A" w:rsidRDefault="00987E1A" w:rsidP="008B38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1A" w:rsidRPr="00987E1A" w:rsidRDefault="00987E1A" w:rsidP="00987E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E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Тутаевского</w:t>
      </w:r>
    </w:p>
    <w:p w:rsidR="00987E1A" w:rsidRDefault="00987E1A" w:rsidP="00987E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E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987E1A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Юнусов</w:t>
      </w:r>
    </w:p>
    <w:p w:rsidR="00987E1A" w:rsidRDefault="00987E1A" w:rsidP="00C30338"/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C4D" w:rsidRDefault="00985C4D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C4D" w:rsidRDefault="00985C4D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C4D" w:rsidRDefault="00985C4D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C4D" w:rsidRDefault="00985C4D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C4D" w:rsidRPr="009C6E93" w:rsidRDefault="00985C4D" w:rsidP="00985C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85C4D" w:rsidRPr="009C6E93" w:rsidRDefault="00985C4D" w:rsidP="00985C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Муниципального Совета </w:t>
      </w:r>
    </w:p>
    <w:p w:rsidR="00985C4D" w:rsidRPr="009C6E93" w:rsidRDefault="00985C4D" w:rsidP="00985C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</w:t>
      </w:r>
    </w:p>
    <w:p w:rsidR="00985C4D" w:rsidRPr="009C6E93" w:rsidRDefault="00985C4D" w:rsidP="00985C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</w:t>
      </w:r>
    </w:p>
    <w:p w:rsidR="00985C4D" w:rsidRPr="009C6E93" w:rsidRDefault="00985C4D" w:rsidP="00985C4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C4D" w:rsidRPr="009C6E93" w:rsidRDefault="00985C4D" w:rsidP="00985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C4D" w:rsidRPr="009C6E93" w:rsidRDefault="00985C4D" w:rsidP="00985C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985C4D" w:rsidRPr="009C6E93" w:rsidRDefault="00985C4D" w:rsidP="00985C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определения части территории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Тутаевского муниципального района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предназначенной для реализации инициативных проектов</w:t>
      </w:r>
    </w:p>
    <w:p w:rsidR="00985C4D" w:rsidRPr="009C6E93" w:rsidRDefault="00985C4D" w:rsidP="00985C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85C4D" w:rsidRPr="009C6E93" w:rsidRDefault="00985C4D" w:rsidP="00985C4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1.Общие положения</w:t>
      </w:r>
    </w:p>
    <w:p w:rsidR="00985C4D" w:rsidRPr="009C6E93" w:rsidRDefault="00985C4D" w:rsidP="00985C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Arial"/>
          <w:sz w:val="28"/>
          <w:szCs w:val="28"/>
          <w:lang w:eastAsia="ru-RU"/>
        </w:rPr>
        <w:t>1.1. Настоящий порядок устанавливает процедуру определения части территории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Тутаевского муниципального района</w:t>
      </w:r>
      <w:r w:rsidRPr="009C6E9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 на которой могут реализовываться инициативные проекты.</w:t>
      </w:r>
    </w:p>
    <w:p w:rsidR="00985C4D" w:rsidRPr="009C6E93" w:rsidRDefault="00985C4D" w:rsidP="00985C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9C6E93">
        <w:rPr>
          <w:rFonts w:ascii="PT Astra Serif" w:eastAsia="Times New Roman" w:hAnsi="PT Astra Serif" w:cs="Arial"/>
          <w:sz w:val="28"/>
          <w:szCs w:val="28"/>
          <w:lang w:eastAsia="ru-RU"/>
        </w:rPr>
        <w:t>1.2. Для целей настоящего Порядка инициативный проект - проект, внесенный в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Администрацию Тутаевского муниципального района</w:t>
      </w:r>
      <w:r w:rsidRPr="009C6E9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, посредством которого обеспечивается реализация мероприятий, имеющих приоритетное значение для жителей 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Тутаевского муниципального района </w:t>
      </w:r>
      <w:r w:rsidRPr="009C6E9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или его части по решению вопросов местного значения или иных вопросов, право </w:t>
      </w:r>
      <w:proofErr w:type="gramStart"/>
      <w:r w:rsidRPr="009C6E93">
        <w:rPr>
          <w:rFonts w:ascii="PT Astra Serif" w:eastAsia="Times New Roman" w:hAnsi="PT Astra Serif" w:cs="Arial"/>
          <w:sz w:val="28"/>
          <w:szCs w:val="28"/>
          <w:lang w:eastAsia="ru-RU"/>
        </w:rPr>
        <w:t>решения</w:t>
      </w:r>
      <w:proofErr w:type="gramEnd"/>
      <w:r w:rsidRPr="009C6E9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которых предоставлено органам местного самоуправления 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Тутаевского муниципального района </w:t>
      </w:r>
      <w:r w:rsidRPr="009C6E93">
        <w:rPr>
          <w:rFonts w:ascii="PT Astra Serif" w:eastAsia="Times New Roman" w:hAnsi="PT Astra Serif" w:cs="Arial"/>
          <w:sz w:val="28"/>
          <w:szCs w:val="28"/>
          <w:lang w:eastAsia="ru-RU"/>
        </w:rPr>
        <w:t>(далее – инициативный проект);</w:t>
      </w:r>
    </w:p>
    <w:p w:rsidR="00985C4D" w:rsidRPr="009C6E93" w:rsidRDefault="00985C4D" w:rsidP="00985C4D">
      <w:pPr>
        <w:suppressAutoHyphens/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1.3. Территория, на которой могут реализовываться инициативные про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екты, устанавливается постановлением А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</w:t>
      </w:r>
      <w:r w:rsidRPr="009C6E93">
        <w:t xml:space="preserve"> 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Тутаевского муниципального района.  </w:t>
      </w:r>
    </w:p>
    <w:p w:rsidR="00985C4D" w:rsidRPr="009C6E93" w:rsidRDefault="00985C4D" w:rsidP="00985C4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9C6E93">
        <w:rPr>
          <w:rFonts w:ascii="PT Astra Serif" w:eastAsia="Times New Roman" w:hAnsi="PT Astra Serif" w:cs="Arial"/>
          <w:sz w:val="28"/>
          <w:szCs w:val="28"/>
          <w:lang w:eastAsia="ru-RU"/>
        </w:rPr>
        <w:t>1.4. С заявлением об определении части территории, на которой может реализовываться инициативный проект, вправе обратиться инициаторы проекта:</w:t>
      </w:r>
    </w:p>
    <w:p w:rsidR="00985C4D" w:rsidRPr="009C6E93" w:rsidRDefault="00985C4D" w:rsidP="00985C4D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9C6E93">
        <w:rPr>
          <w:rFonts w:ascii="PT Astra Serif" w:eastAsia="Times New Roman" w:hAnsi="PT Astra Serif" w:cs="Arial"/>
          <w:sz w:val="28"/>
          <w:szCs w:val="28"/>
          <w:lang w:eastAsia="ru-RU"/>
        </w:rPr>
        <w:t>1) инициативная группа численностью не менее десяти граждан, достигших шестнадцатилетнего возраста и проживающих на территории</w:t>
      </w:r>
      <w:r w:rsidRPr="009C6E93">
        <w:t xml:space="preserve"> </w:t>
      </w:r>
      <w:r w:rsidRPr="009C6E9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Тутаевского муниципального района; </w:t>
      </w:r>
    </w:p>
    <w:p w:rsidR="00985C4D" w:rsidRPr="009C6E93" w:rsidRDefault="00985C4D" w:rsidP="00985C4D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9C6E9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2) органы территориального общественного самоуправления; </w:t>
      </w:r>
    </w:p>
    <w:p w:rsidR="00985C4D" w:rsidRPr="009C6E93" w:rsidRDefault="00985C4D" w:rsidP="00985C4D">
      <w:pPr>
        <w:spacing w:after="0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9C6E93">
        <w:rPr>
          <w:rFonts w:ascii="PT Astra Serif" w:eastAsia="Times New Roman" w:hAnsi="PT Astra Serif" w:cs="Arial"/>
          <w:sz w:val="28"/>
          <w:szCs w:val="28"/>
          <w:lang w:eastAsia="ru-RU"/>
        </w:rPr>
        <w:t>3) товарищества собственников жилья.</w:t>
      </w:r>
    </w:p>
    <w:p w:rsidR="00985C4D" w:rsidRPr="009C6E93" w:rsidRDefault="00985C4D" w:rsidP="00985C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PT Astra Serif" w:eastAsia="Times New Roman" w:hAnsi="PT Astra Serif" w:cs="Arial"/>
          <w:sz w:val="28"/>
          <w:szCs w:val="28"/>
          <w:lang w:eastAsia="ru-RU"/>
        </w:rPr>
        <w:tab/>
        <w:t>1.5. Инициативные проекты могут реализовываться в границах муниципального образования в пределах следующих территорий проживания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граждан:</w:t>
      </w:r>
    </w:p>
    <w:p w:rsidR="00985C4D" w:rsidRPr="009C6E93" w:rsidRDefault="00985C4D" w:rsidP="00985C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1) в границах территорий территориального общественного самоуправления;</w:t>
      </w:r>
    </w:p>
    <w:p w:rsidR="00985C4D" w:rsidRPr="009C6E93" w:rsidRDefault="00985C4D" w:rsidP="00985C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2) группы жилых домов;</w:t>
      </w:r>
    </w:p>
    <w:p w:rsidR="00985C4D" w:rsidRPr="009C6E93" w:rsidRDefault="00985C4D" w:rsidP="00985C4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3) жилого микрорайона;</w:t>
      </w:r>
    </w:p>
    <w:p w:rsidR="00985C4D" w:rsidRPr="009C6E93" w:rsidRDefault="00985C4D" w:rsidP="00985C4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4) сельского населенного пункта, не являющегося поселением;</w:t>
      </w:r>
    </w:p>
    <w:p w:rsidR="00985C4D" w:rsidRPr="009C6E93" w:rsidRDefault="00985C4D" w:rsidP="00985C4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5) иных территорий проживания граждан.</w:t>
      </w:r>
    </w:p>
    <w:p w:rsidR="00985C4D" w:rsidRPr="009C6E93" w:rsidRDefault="00985C4D" w:rsidP="00985C4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5C4D" w:rsidRPr="009C6E93" w:rsidRDefault="00985C4D" w:rsidP="00985C4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985C4D" w:rsidRPr="009C6E93" w:rsidRDefault="00985C4D" w:rsidP="00985C4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2.1. Для установления территории, на которой </w:t>
      </w:r>
      <w:r w:rsidRPr="009C6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могут 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реализовываться инициативные проекты, </w:t>
      </w:r>
      <w:r w:rsidRPr="009C6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инициатор проекта 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обращается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Тутаевского муниципального района 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заявлением об определении территории, на которой планирует реализовывать инициативный проект</w:t>
      </w:r>
      <w:r w:rsidRPr="009C6E93">
        <w:rPr>
          <w:rFonts w:ascii="Times New Roman" w:eastAsia="Calibri" w:hAnsi="Times New Roman" w:cs="Times New Roman"/>
          <w:sz w:val="28"/>
          <w:szCs w:val="28"/>
        </w:rPr>
        <w:t xml:space="preserve"> с описанием ее границ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85C4D" w:rsidRPr="009C6E93" w:rsidRDefault="00985C4D" w:rsidP="00985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2.2. Заявление об определении территории, на которой планируется реализовывать инициативный проект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C6E93">
        <w:rPr>
          <w:rFonts w:ascii="Times New Roman" w:eastAsia="Calibri" w:hAnsi="Times New Roman" w:cs="Times New Roman"/>
          <w:sz w:val="28"/>
          <w:szCs w:val="28"/>
        </w:rPr>
        <w:t xml:space="preserve"> подписывается инициаторами проекта.</w:t>
      </w:r>
    </w:p>
    <w:p w:rsidR="00985C4D" w:rsidRPr="009C6E93" w:rsidRDefault="00985C4D" w:rsidP="00985C4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E93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9C6E93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9C6E93">
        <w:rPr>
          <w:rFonts w:ascii="Times New Roman" w:eastAsia="Calibri" w:hAnsi="Times New Roman" w:cs="Times New Roman"/>
          <w:sz w:val="28"/>
          <w:szCs w:val="28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985C4D" w:rsidRPr="009C6E93" w:rsidRDefault="00985C4D" w:rsidP="00985C4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К заявлению инициатор проекта прилагает следующие документы:</w:t>
      </w:r>
    </w:p>
    <w:p w:rsidR="00985C4D" w:rsidRPr="009C6E93" w:rsidRDefault="00985C4D" w:rsidP="00985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E93">
        <w:rPr>
          <w:rFonts w:ascii="Times New Roman" w:eastAsia="Calibri" w:hAnsi="Times New Roman" w:cs="Times New Roman"/>
          <w:sz w:val="28"/>
          <w:szCs w:val="28"/>
        </w:rPr>
        <w:tab/>
        <w:t>1) краткое описание инициативного проекта;</w:t>
      </w:r>
    </w:p>
    <w:p w:rsidR="00985C4D" w:rsidRPr="009C6E93" w:rsidRDefault="00985C4D" w:rsidP="00985C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2) копию протокола собрания инициативной группы о принятии решения о внесении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Администрацию Тутаевского муниципального района 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инициативного проекта и определении территории, на которой предлагается его реализация.</w:t>
      </w:r>
    </w:p>
    <w:p w:rsidR="00985C4D" w:rsidRPr="009C6E93" w:rsidRDefault="00985C4D" w:rsidP="00985C4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2.4. Администрация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Тутаевского муниципального района в течение 15 календарных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 со дня поступления заявления принимает решение:</w:t>
      </w:r>
    </w:p>
    <w:p w:rsidR="00985C4D" w:rsidRPr="009C6E93" w:rsidRDefault="00985C4D" w:rsidP="00985C4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1) об определении границ территории, на которой планируется реализовывать инициативный проект;</w:t>
      </w:r>
    </w:p>
    <w:p w:rsidR="00985C4D" w:rsidRPr="009C6E93" w:rsidRDefault="00985C4D" w:rsidP="00985C4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2) об отказе в определении границ территории, на которой планируется реализовывать инициативный проект.</w:t>
      </w:r>
    </w:p>
    <w:p w:rsidR="00985C4D" w:rsidRPr="009C6E93" w:rsidRDefault="00985C4D" w:rsidP="00985C4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985C4D" w:rsidRPr="009C6E93" w:rsidRDefault="00985C4D" w:rsidP="00985C4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1) территория выходит за пределы территории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Тутаевского муниципального района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85C4D" w:rsidRPr="009C6E93" w:rsidRDefault="00985C4D" w:rsidP="00985C4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2) </w:t>
      </w:r>
      <w:r w:rsidRPr="003C4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запрашиваемая территория закреплена в установленном порядке за иными пользователями или находится в собственности;</w:t>
      </w:r>
    </w:p>
    <w:p w:rsidR="00985C4D" w:rsidRPr="009C6E93" w:rsidRDefault="00985C4D" w:rsidP="00985C4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3) в границах запрашиваемой территории реализуется иной инициативный проект;</w:t>
      </w:r>
    </w:p>
    <w:p w:rsidR="00985C4D" w:rsidRPr="009C6E93" w:rsidRDefault="00985C4D" w:rsidP="00985C4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4) виды разрешенного использования земельного участка на запрашиваемой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соответствую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целям инициативного проекта;</w:t>
      </w:r>
    </w:p>
    <w:p w:rsidR="00985C4D" w:rsidRPr="009C6E93" w:rsidRDefault="00985C4D" w:rsidP="00985C4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5) реализация инициативного проекта на запрашиваемой территории противоречит нормам федерального, регионального, либо муниципального законодательства. </w:t>
      </w:r>
    </w:p>
    <w:p w:rsidR="00985C4D" w:rsidRPr="009C6E93" w:rsidRDefault="00985C4D" w:rsidP="00985C4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  <w:t>2.6. О принятом решении инициатору проекта сообщается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письменном виде с обоснованием (в случае отказа) принятого решения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13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3 рабочих дней со дня его принятия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85C4D" w:rsidRPr="009C6E93" w:rsidRDefault="00985C4D" w:rsidP="00985C4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2.7. При установлении случаев, указанных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пункте 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настоящего Порядка, Администрация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Тутаевского муниципального района 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вправе предложить инициаторам проекта иную территорию для реализации инициативного проекта. </w:t>
      </w:r>
    </w:p>
    <w:p w:rsidR="00985C4D" w:rsidRPr="009C6E93" w:rsidRDefault="00985C4D" w:rsidP="00985C4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2.8. 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Тутаевского муниципального района 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соответствующего решения.</w:t>
      </w:r>
    </w:p>
    <w:p w:rsidR="00985C4D" w:rsidRPr="009C6E93" w:rsidRDefault="00985C4D" w:rsidP="00985C4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985C4D" w:rsidRPr="009C6E93" w:rsidRDefault="00985C4D" w:rsidP="00985C4D">
      <w:pPr>
        <w:ind w:left="2124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Заключительные положения</w:t>
      </w:r>
    </w:p>
    <w:p w:rsidR="00985C4D" w:rsidRPr="009C6E93" w:rsidRDefault="00985C4D" w:rsidP="00985C4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 Решение А</w:t>
      </w:r>
      <w:r w:rsidRPr="009C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</w:t>
      </w:r>
      <w:r w:rsidRPr="009C6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985C4D" w:rsidRPr="00C30338" w:rsidRDefault="00985C4D" w:rsidP="00985C4D"/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DFC" w:rsidRDefault="00FE6DFC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E1A" w:rsidRPr="00987E1A" w:rsidRDefault="00987E1A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E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СОГЛАСОВАНИЯ </w:t>
      </w:r>
    </w:p>
    <w:p w:rsidR="00987E1A" w:rsidRPr="00987E1A" w:rsidRDefault="00987E1A" w:rsidP="0098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1914"/>
        <w:gridCol w:w="1313"/>
        <w:gridCol w:w="1559"/>
        <w:gridCol w:w="1701"/>
        <w:gridCol w:w="3084"/>
      </w:tblGrid>
      <w:tr w:rsidR="00987E1A" w:rsidRPr="00987E1A" w:rsidTr="0041179C">
        <w:tc>
          <w:tcPr>
            <w:tcW w:w="1914" w:type="dxa"/>
          </w:tcPr>
          <w:p w:rsidR="00987E1A" w:rsidRPr="00987E1A" w:rsidRDefault="00987E1A" w:rsidP="00987E1A">
            <w:pPr>
              <w:jc w:val="center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Должность, Ф.И.О.,</w:t>
            </w:r>
          </w:p>
          <w:p w:rsidR="00987E1A" w:rsidRPr="00987E1A" w:rsidRDefault="00987E1A" w:rsidP="00987E1A">
            <w:pPr>
              <w:jc w:val="center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исполнителя и согласующих лиц</w:t>
            </w:r>
          </w:p>
        </w:tc>
        <w:tc>
          <w:tcPr>
            <w:tcW w:w="1313" w:type="dxa"/>
          </w:tcPr>
          <w:p w:rsidR="00987E1A" w:rsidRPr="00987E1A" w:rsidRDefault="00987E1A" w:rsidP="00987E1A">
            <w:pPr>
              <w:jc w:val="center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559" w:type="dxa"/>
          </w:tcPr>
          <w:p w:rsidR="00987E1A" w:rsidRPr="00987E1A" w:rsidRDefault="00987E1A" w:rsidP="00987E1A">
            <w:pPr>
              <w:jc w:val="center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1701" w:type="dxa"/>
          </w:tcPr>
          <w:p w:rsidR="00987E1A" w:rsidRPr="00987E1A" w:rsidRDefault="00987E1A" w:rsidP="00987E1A">
            <w:pPr>
              <w:jc w:val="center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3084" w:type="dxa"/>
          </w:tcPr>
          <w:p w:rsidR="00987E1A" w:rsidRPr="00987E1A" w:rsidRDefault="00987E1A" w:rsidP="00987E1A">
            <w:pPr>
              <w:jc w:val="center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Замечания</w:t>
            </w:r>
          </w:p>
        </w:tc>
      </w:tr>
      <w:tr w:rsidR="00987E1A" w:rsidRPr="00987E1A" w:rsidTr="0041179C">
        <w:tc>
          <w:tcPr>
            <w:tcW w:w="1914" w:type="dxa"/>
          </w:tcPr>
          <w:p w:rsidR="00987E1A" w:rsidRPr="00987E1A" w:rsidRDefault="00987E1A" w:rsidP="00987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Начальник юридического отдела АПУ</w:t>
            </w:r>
          </w:p>
          <w:p w:rsidR="00987E1A" w:rsidRPr="00987E1A" w:rsidRDefault="00987E1A" w:rsidP="00987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АТМР</w:t>
            </w:r>
          </w:p>
          <w:p w:rsidR="00987E1A" w:rsidRPr="00987E1A" w:rsidRDefault="00987E1A" w:rsidP="00987E1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87E1A">
              <w:rPr>
                <w:sz w:val="24"/>
                <w:szCs w:val="24"/>
              </w:rPr>
              <w:t>Коннов</w:t>
            </w:r>
            <w:proofErr w:type="spellEnd"/>
            <w:r w:rsidRPr="00987E1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313" w:type="dxa"/>
          </w:tcPr>
          <w:p w:rsidR="00987E1A" w:rsidRPr="00987E1A" w:rsidRDefault="00987E1A" w:rsidP="00987E1A">
            <w:pPr>
              <w:jc w:val="center"/>
            </w:pPr>
          </w:p>
        </w:tc>
        <w:tc>
          <w:tcPr>
            <w:tcW w:w="1559" w:type="dxa"/>
          </w:tcPr>
          <w:p w:rsidR="00987E1A" w:rsidRPr="00987E1A" w:rsidRDefault="00987E1A" w:rsidP="00987E1A">
            <w:pPr>
              <w:jc w:val="center"/>
            </w:pPr>
          </w:p>
        </w:tc>
        <w:tc>
          <w:tcPr>
            <w:tcW w:w="1701" w:type="dxa"/>
          </w:tcPr>
          <w:p w:rsidR="00987E1A" w:rsidRPr="00987E1A" w:rsidRDefault="00987E1A" w:rsidP="00987E1A">
            <w:pPr>
              <w:jc w:val="center"/>
            </w:pPr>
          </w:p>
        </w:tc>
        <w:tc>
          <w:tcPr>
            <w:tcW w:w="3084" w:type="dxa"/>
          </w:tcPr>
          <w:p w:rsidR="00987E1A" w:rsidRPr="00987E1A" w:rsidRDefault="00987E1A" w:rsidP="00987E1A">
            <w:pPr>
              <w:jc w:val="center"/>
            </w:pPr>
          </w:p>
        </w:tc>
      </w:tr>
      <w:tr w:rsidR="00987E1A" w:rsidRPr="00987E1A" w:rsidTr="0041179C">
        <w:tc>
          <w:tcPr>
            <w:tcW w:w="1914" w:type="dxa"/>
          </w:tcPr>
          <w:p w:rsidR="00987E1A" w:rsidRPr="00987E1A" w:rsidRDefault="00987E1A" w:rsidP="00987E1A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Согласовано:</w:t>
            </w:r>
          </w:p>
        </w:tc>
        <w:tc>
          <w:tcPr>
            <w:tcW w:w="1313" w:type="dxa"/>
          </w:tcPr>
          <w:p w:rsidR="00987E1A" w:rsidRPr="00987E1A" w:rsidRDefault="00987E1A" w:rsidP="00987E1A">
            <w:pPr>
              <w:jc w:val="center"/>
            </w:pPr>
          </w:p>
        </w:tc>
        <w:tc>
          <w:tcPr>
            <w:tcW w:w="1559" w:type="dxa"/>
          </w:tcPr>
          <w:p w:rsidR="00987E1A" w:rsidRPr="00987E1A" w:rsidRDefault="00987E1A" w:rsidP="00987E1A">
            <w:pPr>
              <w:jc w:val="center"/>
            </w:pPr>
          </w:p>
        </w:tc>
        <w:tc>
          <w:tcPr>
            <w:tcW w:w="1701" w:type="dxa"/>
          </w:tcPr>
          <w:p w:rsidR="00987E1A" w:rsidRPr="00987E1A" w:rsidRDefault="00987E1A" w:rsidP="00987E1A">
            <w:pPr>
              <w:jc w:val="center"/>
            </w:pPr>
          </w:p>
        </w:tc>
        <w:tc>
          <w:tcPr>
            <w:tcW w:w="3084" w:type="dxa"/>
          </w:tcPr>
          <w:p w:rsidR="00987E1A" w:rsidRPr="00987E1A" w:rsidRDefault="00987E1A" w:rsidP="00987E1A">
            <w:pPr>
              <w:jc w:val="center"/>
            </w:pPr>
          </w:p>
        </w:tc>
      </w:tr>
      <w:tr w:rsidR="00987E1A" w:rsidRPr="00987E1A" w:rsidTr="0041179C">
        <w:trPr>
          <w:trHeight w:val="1236"/>
        </w:trPr>
        <w:tc>
          <w:tcPr>
            <w:tcW w:w="1914" w:type="dxa"/>
          </w:tcPr>
          <w:p w:rsidR="00987E1A" w:rsidRPr="00987E1A" w:rsidRDefault="00987E1A" w:rsidP="00987E1A">
            <w:pPr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lastRenderedPageBreak/>
              <w:t>Управляющий</w:t>
            </w:r>
          </w:p>
          <w:p w:rsidR="00987E1A" w:rsidRPr="00987E1A" w:rsidRDefault="00987E1A" w:rsidP="00987E1A">
            <w:pPr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делами</w:t>
            </w:r>
          </w:p>
          <w:p w:rsidR="00987E1A" w:rsidRPr="00987E1A" w:rsidRDefault="00987E1A" w:rsidP="00987E1A">
            <w:pPr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Администрации ТМР</w:t>
            </w:r>
          </w:p>
          <w:p w:rsidR="00987E1A" w:rsidRPr="00987E1A" w:rsidRDefault="00987E1A" w:rsidP="00987E1A">
            <w:pPr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Балясникова С.В.</w:t>
            </w:r>
          </w:p>
        </w:tc>
        <w:tc>
          <w:tcPr>
            <w:tcW w:w="1313" w:type="dxa"/>
          </w:tcPr>
          <w:p w:rsidR="00987E1A" w:rsidRPr="00987E1A" w:rsidRDefault="00987E1A" w:rsidP="00987E1A">
            <w:pPr>
              <w:jc w:val="center"/>
            </w:pPr>
          </w:p>
          <w:p w:rsidR="00987E1A" w:rsidRPr="00987E1A" w:rsidRDefault="00987E1A" w:rsidP="00987E1A">
            <w:pPr>
              <w:jc w:val="center"/>
            </w:pPr>
          </w:p>
          <w:p w:rsidR="00987E1A" w:rsidRPr="00987E1A" w:rsidRDefault="00987E1A" w:rsidP="00987E1A">
            <w:pPr>
              <w:jc w:val="center"/>
            </w:pPr>
          </w:p>
        </w:tc>
        <w:tc>
          <w:tcPr>
            <w:tcW w:w="1559" w:type="dxa"/>
          </w:tcPr>
          <w:p w:rsidR="00987E1A" w:rsidRPr="00987E1A" w:rsidRDefault="00987E1A" w:rsidP="00987E1A">
            <w:pPr>
              <w:jc w:val="center"/>
            </w:pPr>
          </w:p>
        </w:tc>
        <w:tc>
          <w:tcPr>
            <w:tcW w:w="1701" w:type="dxa"/>
          </w:tcPr>
          <w:p w:rsidR="00987E1A" w:rsidRPr="00987E1A" w:rsidRDefault="00987E1A" w:rsidP="00987E1A">
            <w:pPr>
              <w:jc w:val="center"/>
            </w:pPr>
          </w:p>
        </w:tc>
        <w:tc>
          <w:tcPr>
            <w:tcW w:w="3084" w:type="dxa"/>
          </w:tcPr>
          <w:p w:rsidR="00987E1A" w:rsidRPr="00987E1A" w:rsidRDefault="00987E1A" w:rsidP="00987E1A">
            <w:pPr>
              <w:jc w:val="center"/>
            </w:pPr>
          </w:p>
        </w:tc>
      </w:tr>
    </w:tbl>
    <w:p w:rsidR="00987E1A" w:rsidRPr="00987E1A" w:rsidRDefault="00987E1A" w:rsidP="00987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E1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копия сдана                                             ______________  «____» _________ 20__ года</w:t>
      </w:r>
    </w:p>
    <w:p w:rsidR="00987E1A" w:rsidRPr="00987E1A" w:rsidRDefault="00987E1A" w:rsidP="00987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1A" w:rsidRPr="00987E1A" w:rsidRDefault="00987E1A" w:rsidP="00987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E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87E1A" w:rsidRPr="00987E1A" w:rsidRDefault="00987E1A" w:rsidP="00987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1A" w:rsidRPr="00987E1A" w:rsidRDefault="00987E1A" w:rsidP="00987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1A" w:rsidRPr="00987E1A" w:rsidRDefault="00987E1A" w:rsidP="00987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E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отметки (НПА/ПА) _______________</w:t>
      </w:r>
    </w:p>
    <w:p w:rsidR="00987E1A" w:rsidRPr="00987E1A" w:rsidRDefault="00987E1A" w:rsidP="00987E1A"/>
    <w:p w:rsidR="00987E1A" w:rsidRPr="00C30338" w:rsidRDefault="00987E1A" w:rsidP="00C30338"/>
    <w:sectPr w:rsidR="00987E1A" w:rsidRPr="00C3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0C30D5"/>
    <w:rsid w:val="003466B1"/>
    <w:rsid w:val="00364FBC"/>
    <w:rsid w:val="007F0903"/>
    <w:rsid w:val="008B3815"/>
    <w:rsid w:val="00985C4D"/>
    <w:rsid w:val="00987E1A"/>
    <w:rsid w:val="00C30338"/>
    <w:rsid w:val="00D25770"/>
    <w:rsid w:val="00E3698A"/>
    <w:rsid w:val="00F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8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8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smolinas</dc:creator>
  <cp:lastModifiedBy>prokofieva</cp:lastModifiedBy>
  <cp:revision>6</cp:revision>
  <cp:lastPrinted>2021-02-12T12:35:00Z</cp:lastPrinted>
  <dcterms:created xsi:type="dcterms:W3CDTF">2020-12-17T13:44:00Z</dcterms:created>
  <dcterms:modified xsi:type="dcterms:W3CDTF">2021-02-19T07:57:00Z</dcterms:modified>
</cp:coreProperties>
</file>