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43" w:rsidRPr="00B512EE" w:rsidRDefault="00BE3643" w:rsidP="00BE3643">
      <w:pPr>
        <w:keepNext/>
        <w:jc w:val="center"/>
        <w:outlineLvl w:val="0"/>
        <w:rPr>
          <w:b/>
          <w:sz w:val="28"/>
          <w:szCs w:val="28"/>
        </w:rPr>
      </w:pPr>
      <w:r w:rsidRPr="00B512EE">
        <w:rPr>
          <w:b/>
          <w:noProof/>
          <w:sz w:val="28"/>
          <w:szCs w:val="28"/>
        </w:rPr>
        <w:drawing>
          <wp:inline distT="0" distB="0" distL="0" distR="0" wp14:anchorId="02947111" wp14:editId="13C2417D">
            <wp:extent cx="607060" cy="797560"/>
            <wp:effectExtent l="0" t="0" r="2540" b="254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43" w:rsidRPr="00B512EE" w:rsidRDefault="00BE3643" w:rsidP="00BE3643">
      <w:pPr>
        <w:keepNext/>
        <w:jc w:val="center"/>
        <w:outlineLvl w:val="0"/>
        <w:rPr>
          <w:sz w:val="28"/>
          <w:szCs w:val="28"/>
        </w:rPr>
      </w:pPr>
    </w:p>
    <w:p w:rsidR="00BE3643" w:rsidRPr="00875691" w:rsidRDefault="00BE3643" w:rsidP="00BE3643">
      <w:pPr>
        <w:keepNext/>
        <w:jc w:val="center"/>
        <w:outlineLvl w:val="0"/>
        <w:rPr>
          <w:sz w:val="28"/>
          <w:szCs w:val="28"/>
        </w:rPr>
      </w:pPr>
      <w:r w:rsidRPr="00875691">
        <w:rPr>
          <w:sz w:val="28"/>
          <w:szCs w:val="28"/>
        </w:rPr>
        <w:t>Муниципальный Совет</w:t>
      </w:r>
    </w:p>
    <w:p w:rsidR="00BE3643" w:rsidRPr="00875691" w:rsidRDefault="00BE3643" w:rsidP="00BE3643">
      <w:pPr>
        <w:keepNext/>
        <w:jc w:val="center"/>
        <w:outlineLvl w:val="0"/>
        <w:rPr>
          <w:sz w:val="28"/>
          <w:szCs w:val="28"/>
        </w:rPr>
      </w:pPr>
      <w:r w:rsidRPr="00875691">
        <w:rPr>
          <w:sz w:val="28"/>
          <w:szCs w:val="28"/>
        </w:rPr>
        <w:t>Тутаевского муниципального района</w:t>
      </w:r>
    </w:p>
    <w:p w:rsidR="00BE3643" w:rsidRPr="00875691" w:rsidRDefault="00BE3643" w:rsidP="00BE3643">
      <w:pPr>
        <w:jc w:val="center"/>
        <w:rPr>
          <w:sz w:val="28"/>
          <w:szCs w:val="28"/>
        </w:rPr>
      </w:pPr>
    </w:p>
    <w:p w:rsidR="00BE3643" w:rsidRPr="00875691" w:rsidRDefault="00BE3643" w:rsidP="00BE3643">
      <w:pPr>
        <w:keepNext/>
        <w:jc w:val="center"/>
        <w:outlineLvl w:val="0"/>
        <w:rPr>
          <w:b/>
          <w:bCs/>
          <w:sz w:val="40"/>
          <w:szCs w:val="40"/>
        </w:rPr>
      </w:pPr>
      <w:r w:rsidRPr="00875691">
        <w:rPr>
          <w:b/>
          <w:bCs/>
          <w:sz w:val="40"/>
          <w:szCs w:val="40"/>
        </w:rPr>
        <w:t>РЕШЕНИЕ</w:t>
      </w:r>
    </w:p>
    <w:p w:rsidR="00BE3643" w:rsidRPr="00875691" w:rsidRDefault="00BE3643" w:rsidP="00BE3643">
      <w:pPr>
        <w:jc w:val="center"/>
        <w:rPr>
          <w:b/>
          <w:sz w:val="28"/>
          <w:szCs w:val="28"/>
        </w:rPr>
      </w:pPr>
    </w:p>
    <w:p w:rsidR="00BE3643" w:rsidRPr="00D453B1" w:rsidRDefault="00BE3643" w:rsidP="00BE3643">
      <w:pPr>
        <w:ind w:firstLine="0"/>
        <w:rPr>
          <w:rFonts w:ascii="Times New Roman" w:hAnsi="Times New Roman" w:cs="Times New Roman"/>
          <w:b/>
          <w:sz w:val="32"/>
          <w:szCs w:val="32"/>
        </w:rPr>
      </w:pPr>
      <w:r w:rsidRPr="00D453B1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D453B1" w:rsidRPr="00D453B1">
        <w:rPr>
          <w:rFonts w:ascii="Times New Roman" w:hAnsi="Times New Roman" w:cs="Times New Roman"/>
          <w:b/>
          <w:sz w:val="32"/>
          <w:szCs w:val="32"/>
        </w:rPr>
        <w:t>29.02</w:t>
      </w:r>
      <w:r w:rsidRPr="00D453B1">
        <w:rPr>
          <w:rFonts w:ascii="Times New Roman" w:hAnsi="Times New Roman" w:cs="Times New Roman"/>
          <w:b/>
          <w:sz w:val="32"/>
          <w:szCs w:val="32"/>
        </w:rPr>
        <w:t>.202</w:t>
      </w:r>
      <w:r w:rsidR="005808B9" w:rsidRPr="00D453B1">
        <w:rPr>
          <w:rFonts w:ascii="Times New Roman" w:hAnsi="Times New Roman" w:cs="Times New Roman"/>
          <w:b/>
          <w:sz w:val="32"/>
          <w:szCs w:val="32"/>
        </w:rPr>
        <w:t>4</w:t>
      </w:r>
      <w:r w:rsidRPr="00D453B1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D453B1" w:rsidRPr="00D453B1">
        <w:rPr>
          <w:rFonts w:ascii="Times New Roman" w:hAnsi="Times New Roman" w:cs="Times New Roman"/>
          <w:b/>
          <w:sz w:val="32"/>
          <w:szCs w:val="32"/>
        </w:rPr>
        <w:t xml:space="preserve"> 03</w:t>
      </w:r>
      <w:r w:rsidRPr="00D453B1">
        <w:rPr>
          <w:rFonts w:ascii="Times New Roman" w:hAnsi="Times New Roman" w:cs="Times New Roman"/>
          <w:b/>
          <w:sz w:val="32"/>
          <w:szCs w:val="32"/>
        </w:rPr>
        <w:t>-г</w:t>
      </w:r>
    </w:p>
    <w:p w:rsidR="00BE3643" w:rsidRPr="00875691" w:rsidRDefault="00BE3643" w:rsidP="00BE3643">
      <w:pPr>
        <w:ind w:firstLine="0"/>
        <w:rPr>
          <w:b/>
        </w:rPr>
      </w:pPr>
      <w:r w:rsidRPr="00875691">
        <w:rPr>
          <w:b/>
        </w:rPr>
        <w:t>г. Тутаев</w:t>
      </w:r>
    </w:p>
    <w:p w:rsidR="00BE3643" w:rsidRDefault="00BE3643" w:rsidP="00BE3643">
      <w:pPr>
        <w:ind w:firstLine="0"/>
        <w:rPr>
          <w:b/>
        </w:rPr>
      </w:pPr>
    </w:p>
    <w:p w:rsidR="00BE3643" w:rsidRPr="00875691" w:rsidRDefault="00BE3643" w:rsidP="00BE3643">
      <w:pPr>
        <w:ind w:firstLine="0"/>
        <w:rPr>
          <w:b/>
          <w:sz w:val="20"/>
          <w:szCs w:val="20"/>
        </w:rPr>
      </w:pPr>
      <w:r w:rsidRPr="00875691">
        <w:rPr>
          <w:b/>
          <w:sz w:val="20"/>
          <w:szCs w:val="20"/>
        </w:rPr>
        <w:t>принято на заседании</w:t>
      </w:r>
    </w:p>
    <w:p w:rsidR="00BE3643" w:rsidRPr="00875691" w:rsidRDefault="00BE3643" w:rsidP="00BE3643">
      <w:pPr>
        <w:ind w:firstLine="0"/>
        <w:rPr>
          <w:b/>
          <w:sz w:val="20"/>
          <w:szCs w:val="20"/>
        </w:rPr>
      </w:pPr>
      <w:r w:rsidRPr="00875691">
        <w:rPr>
          <w:b/>
          <w:sz w:val="20"/>
          <w:szCs w:val="20"/>
        </w:rPr>
        <w:t>Муниципального Совета</w:t>
      </w:r>
    </w:p>
    <w:p w:rsidR="00BE3643" w:rsidRDefault="00BE3643" w:rsidP="00BE3643">
      <w:pPr>
        <w:ind w:firstLine="0"/>
        <w:rPr>
          <w:b/>
          <w:sz w:val="20"/>
          <w:szCs w:val="20"/>
        </w:rPr>
      </w:pPr>
      <w:r w:rsidRPr="00875691">
        <w:rPr>
          <w:b/>
          <w:sz w:val="20"/>
          <w:szCs w:val="20"/>
        </w:rPr>
        <w:t>Тутаевского муниципального района</w:t>
      </w:r>
    </w:p>
    <w:p w:rsidR="00BE3643" w:rsidRPr="00360DEE" w:rsidRDefault="00BE3643" w:rsidP="00BE3643">
      <w:pPr>
        <w:ind w:firstLine="0"/>
      </w:pPr>
    </w:p>
    <w:p w:rsidR="00BE3643" w:rsidRDefault="00BE3643" w:rsidP="00BE3643">
      <w:pPr>
        <w:spacing w:line="310" w:lineRule="exact"/>
        <w:ind w:firstLine="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98BB5" wp14:editId="4A515946">
                <wp:simplePos x="0" y="0"/>
                <wp:positionH relativeFrom="column">
                  <wp:posOffset>-10185</wp:posOffset>
                </wp:positionH>
                <wp:positionV relativeFrom="paragraph">
                  <wp:posOffset>37654</wp:posOffset>
                </wp:positionV>
                <wp:extent cx="2676525" cy="0"/>
                <wp:effectExtent l="0" t="0" r="952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.8pt;margin-top:2.95pt;width:21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"/>
            </w:pict>
          </mc:Fallback>
        </mc:AlternateContent>
      </w:r>
    </w:p>
    <w:p w:rsidR="00E8514E" w:rsidRPr="00D453B1" w:rsidRDefault="00E8514E" w:rsidP="00BE3643">
      <w:pPr>
        <w:spacing w:line="310" w:lineRule="exact"/>
        <w:ind w:firstLine="0"/>
        <w:rPr>
          <w:rFonts w:ascii="Times New Roman" w:hAnsi="Times New Roman" w:cs="Times New Roman"/>
        </w:rPr>
      </w:pPr>
      <w:r w:rsidRPr="00D453B1">
        <w:rPr>
          <w:rFonts w:ascii="Times New Roman" w:hAnsi="Times New Roman" w:cs="Times New Roman"/>
        </w:rPr>
        <w:t>Об утверждении Генерального плана</w:t>
      </w:r>
    </w:p>
    <w:p w:rsidR="00E8514E" w:rsidRPr="00D453B1" w:rsidRDefault="00E8514E" w:rsidP="00BE3643">
      <w:pPr>
        <w:spacing w:line="310" w:lineRule="exact"/>
        <w:ind w:firstLine="0"/>
        <w:rPr>
          <w:rFonts w:ascii="Times New Roman" w:hAnsi="Times New Roman" w:cs="Times New Roman"/>
        </w:rPr>
      </w:pPr>
      <w:proofErr w:type="spellStart"/>
      <w:r w:rsidRPr="00D453B1">
        <w:rPr>
          <w:rFonts w:ascii="Times New Roman" w:hAnsi="Times New Roman" w:cs="Times New Roman"/>
        </w:rPr>
        <w:t>Чебаковского</w:t>
      </w:r>
      <w:proofErr w:type="spellEnd"/>
      <w:r w:rsidRPr="00D453B1">
        <w:rPr>
          <w:rFonts w:ascii="Times New Roman" w:hAnsi="Times New Roman" w:cs="Times New Roman"/>
        </w:rPr>
        <w:t xml:space="preserve"> сельского поселения</w:t>
      </w:r>
    </w:p>
    <w:p w:rsidR="00E8514E" w:rsidRPr="00D453B1" w:rsidRDefault="00E8514E" w:rsidP="00BE3643">
      <w:pPr>
        <w:spacing w:line="310" w:lineRule="exact"/>
        <w:ind w:firstLine="0"/>
        <w:rPr>
          <w:rFonts w:ascii="Times New Roman" w:hAnsi="Times New Roman" w:cs="Times New Roman"/>
        </w:rPr>
      </w:pPr>
      <w:r w:rsidRPr="00D453B1">
        <w:rPr>
          <w:rFonts w:ascii="Times New Roman" w:hAnsi="Times New Roman" w:cs="Times New Roman"/>
        </w:rPr>
        <w:t>Тутаевского муниципального района</w:t>
      </w:r>
    </w:p>
    <w:p w:rsidR="00E8514E" w:rsidRPr="00D453B1" w:rsidRDefault="00E8514E" w:rsidP="00BE3643">
      <w:pPr>
        <w:spacing w:line="310" w:lineRule="exact"/>
        <w:ind w:firstLine="0"/>
        <w:rPr>
          <w:rFonts w:ascii="Times New Roman" w:hAnsi="Times New Roman" w:cs="Times New Roman"/>
        </w:rPr>
      </w:pPr>
      <w:r w:rsidRPr="00D453B1">
        <w:rPr>
          <w:rFonts w:ascii="Times New Roman" w:hAnsi="Times New Roman" w:cs="Times New Roman"/>
        </w:rPr>
        <w:t>Ярославской области и признании</w:t>
      </w:r>
    </w:p>
    <w:p w:rsidR="00E8514E" w:rsidRPr="00D453B1" w:rsidRDefault="00E8514E" w:rsidP="00BE3643">
      <w:pPr>
        <w:spacing w:line="310" w:lineRule="exact"/>
        <w:ind w:firstLine="0"/>
        <w:rPr>
          <w:rFonts w:ascii="Times New Roman" w:hAnsi="Times New Roman" w:cs="Times New Roman"/>
        </w:rPr>
      </w:pPr>
      <w:proofErr w:type="gramStart"/>
      <w:r w:rsidRPr="00D453B1">
        <w:rPr>
          <w:rFonts w:ascii="Times New Roman" w:hAnsi="Times New Roman" w:cs="Times New Roman"/>
        </w:rPr>
        <w:t>утратившими</w:t>
      </w:r>
      <w:proofErr w:type="gramEnd"/>
      <w:r w:rsidRPr="00D453B1">
        <w:rPr>
          <w:rFonts w:ascii="Times New Roman" w:hAnsi="Times New Roman" w:cs="Times New Roman"/>
        </w:rPr>
        <w:t xml:space="preserve"> силу решений </w:t>
      </w:r>
    </w:p>
    <w:p w:rsidR="00E8514E" w:rsidRPr="00D453B1" w:rsidRDefault="00E8514E" w:rsidP="00BE3643">
      <w:pPr>
        <w:spacing w:line="310" w:lineRule="exact"/>
        <w:ind w:firstLine="0"/>
        <w:rPr>
          <w:rFonts w:ascii="Times New Roman" w:hAnsi="Times New Roman" w:cs="Times New Roman"/>
        </w:rPr>
      </w:pPr>
      <w:r w:rsidRPr="00D453B1">
        <w:rPr>
          <w:rFonts w:ascii="Times New Roman" w:hAnsi="Times New Roman" w:cs="Times New Roman"/>
        </w:rPr>
        <w:t>Муниципального Совета Тутаевского района</w:t>
      </w:r>
    </w:p>
    <w:p w:rsidR="00E8514E" w:rsidRDefault="00E8514E" w:rsidP="00E8514E">
      <w:pPr>
        <w:ind w:firstLine="707"/>
        <w:rPr>
          <w:rFonts w:ascii="Times New Roman" w:hAnsi="Times New Roman" w:cs="Times New Roman"/>
          <w:sz w:val="28"/>
          <w:szCs w:val="28"/>
        </w:rPr>
      </w:pPr>
    </w:p>
    <w:p w:rsidR="00D453B1" w:rsidRPr="00D453B1" w:rsidRDefault="00D453B1" w:rsidP="00E8514E">
      <w:pPr>
        <w:ind w:firstLine="707"/>
        <w:rPr>
          <w:rFonts w:ascii="Times New Roman" w:hAnsi="Times New Roman" w:cs="Times New Roman"/>
          <w:sz w:val="28"/>
          <w:szCs w:val="28"/>
        </w:rPr>
      </w:pPr>
    </w:p>
    <w:p w:rsidR="00E8514E" w:rsidRPr="00D453B1" w:rsidRDefault="00E8514E" w:rsidP="00E8514E">
      <w:pPr>
        <w:ind w:firstLine="707"/>
        <w:rPr>
          <w:rFonts w:ascii="Times New Roman" w:hAnsi="Times New Roman" w:cs="Times New Roman"/>
          <w:sz w:val="28"/>
          <w:szCs w:val="28"/>
        </w:rPr>
      </w:pPr>
      <w:r w:rsidRPr="00D453B1">
        <w:rPr>
          <w:rFonts w:ascii="Times New Roman" w:hAnsi="Times New Roman" w:cs="Times New Roman"/>
          <w:sz w:val="28"/>
          <w:szCs w:val="28"/>
        </w:rPr>
        <w:t>В соответствии со статьей 24 Градостроительного кодекса Российской Федерации Муниципальный Совет Тутаевского муниципального района</w:t>
      </w:r>
    </w:p>
    <w:p w:rsidR="00E8514E" w:rsidRPr="00D453B1" w:rsidRDefault="00E8514E" w:rsidP="00E8514E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8514E" w:rsidRPr="00D453B1" w:rsidRDefault="00E8514E" w:rsidP="00E8514E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D453B1">
        <w:rPr>
          <w:rFonts w:ascii="Times New Roman" w:hAnsi="Times New Roman" w:cs="Times New Roman"/>
          <w:sz w:val="28"/>
          <w:szCs w:val="28"/>
        </w:rPr>
        <w:t>РЕШИЛ:</w:t>
      </w:r>
    </w:p>
    <w:p w:rsidR="00E8514E" w:rsidRPr="00D453B1" w:rsidRDefault="00E8514E" w:rsidP="00E8514E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8514E" w:rsidRPr="00D453B1" w:rsidRDefault="00E8514E" w:rsidP="00E8514E">
      <w:pPr>
        <w:pStyle w:val="ad"/>
        <w:numPr>
          <w:ilvl w:val="0"/>
          <w:numId w:val="5"/>
        </w:numPr>
        <w:spacing w:before="1"/>
        <w:ind w:left="0" w:right="-2" w:firstLine="851"/>
        <w:jc w:val="both"/>
        <w:rPr>
          <w:rFonts w:ascii="Times New Roman" w:hAnsi="Times New Roman"/>
          <w:sz w:val="28"/>
          <w:szCs w:val="28"/>
        </w:rPr>
      </w:pPr>
      <w:r w:rsidRPr="00D453B1">
        <w:rPr>
          <w:rFonts w:ascii="Times New Roman" w:hAnsi="Times New Roman"/>
          <w:sz w:val="28"/>
          <w:szCs w:val="28"/>
        </w:rPr>
        <w:t xml:space="preserve">Утвердить Генеральный план </w:t>
      </w:r>
      <w:proofErr w:type="spellStart"/>
      <w:r w:rsidRPr="00D453B1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Pr="00D453B1">
        <w:rPr>
          <w:rFonts w:ascii="Times New Roman" w:hAnsi="Times New Roman"/>
          <w:sz w:val="28"/>
          <w:szCs w:val="28"/>
        </w:rPr>
        <w:t xml:space="preserve"> сельского поселения Тутаевского муниципального района Ярославской области в составе:</w:t>
      </w:r>
    </w:p>
    <w:p w:rsidR="00E8514E" w:rsidRPr="00D453B1" w:rsidRDefault="00E8514E" w:rsidP="00736CE2">
      <w:pPr>
        <w:pStyle w:val="ad"/>
        <w:spacing w:before="1"/>
        <w:ind w:left="0" w:right="-2" w:firstLine="851"/>
        <w:jc w:val="both"/>
        <w:rPr>
          <w:rFonts w:ascii="Times New Roman" w:hAnsi="Times New Roman"/>
          <w:sz w:val="28"/>
          <w:szCs w:val="28"/>
        </w:rPr>
      </w:pPr>
      <w:r w:rsidRPr="00D453B1">
        <w:rPr>
          <w:rFonts w:ascii="Times New Roman" w:hAnsi="Times New Roman"/>
          <w:sz w:val="28"/>
          <w:szCs w:val="28"/>
        </w:rPr>
        <w:t xml:space="preserve">- положение о территориальном планировании </w:t>
      </w:r>
      <w:proofErr w:type="spellStart"/>
      <w:r w:rsidRPr="00D453B1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Pr="00D453B1">
        <w:rPr>
          <w:rFonts w:ascii="Times New Roman" w:hAnsi="Times New Roman"/>
          <w:sz w:val="28"/>
          <w:szCs w:val="28"/>
        </w:rPr>
        <w:t xml:space="preserve"> сельского поселения Тутаевского муниципального района Ярославской области (прилагается);</w:t>
      </w:r>
    </w:p>
    <w:p w:rsidR="00E8514E" w:rsidRPr="00D453B1" w:rsidRDefault="00E8514E" w:rsidP="00736CE2">
      <w:pPr>
        <w:pStyle w:val="ad"/>
        <w:spacing w:before="1"/>
        <w:ind w:left="0" w:right="-2" w:firstLine="851"/>
        <w:jc w:val="both"/>
        <w:rPr>
          <w:rFonts w:ascii="Times New Roman" w:hAnsi="Times New Roman"/>
          <w:sz w:val="28"/>
          <w:szCs w:val="28"/>
        </w:rPr>
      </w:pPr>
      <w:r w:rsidRPr="00D453B1">
        <w:rPr>
          <w:rFonts w:ascii="Times New Roman" w:hAnsi="Times New Roman"/>
          <w:sz w:val="28"/>
          <w:szCs w:val="28"/>
        </w:rPr>
        <w:t xml:space="preserve">- сведения об описании границ населенных пунктов, входящих в состав </w:t>
      </w:r>
      <w:proofErr w:type="spellStart"/>
      <w:r w:rsidRPr="00D453B1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Pr="00D453B1">
        <w:rPr>
          <w:rFonts w:ascii="Times New Roman" w:hAnsi="Times New Roman"/>
          <w:sz w:val="28"/>
          <w:szCs w:val="28"/>
        </w:rPr>
        <w:t xml:space="preserve"> сельского поселения Тутаевского муниципального района Ярославской области (прилагается);</w:t>
      </w:r>
    </w:p>
    <w:p w:rsidR="00E8514E" w:rsidRPr="00D453B1" w:rsidRDefault="00E8514E" w:rsidP="00736CE2">
      <w:pPr>
        <w:pStyle w:val="ad"/>
        <w:spacing w:before="1"/>
        <w:ind w:left="0" w:right="-2" w:firstLine="851"/>
        <w:jc w:val="both"/>
        <w:rPr>
          <w:rFonts w:ascii="Times New Roman" w:hAnsi="Times New Roman"/>
          <w:sz w:val="28"/>
          <w:szCs w:val="28"/>
        </w:rPr>
      </w:pPr>
      <w:r w:rsidRPr="00D453B1">
        <w:rPr>
          <w:rFonts w:ascii="Times New Roman" w:hAnsi="Times New Roman"/>
          <w:sz w:val="28"/>
          <w:szCs w:val="28"/>
        </w:rPr>
        <w:t xml:space="preserve">- карта границ населенных пунктов, входящих в состав </w:t>
      </w:r>
      <w:proofErr w:type="spellStart"/>
      <w:r w:rsidRPr="00D453B1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Pr="00D453B1">
        <w:rPr>
          <w:rFonts w:ascii="Times New Roman" w:hAnsi="Times New Roman"/>
          <w:sz w:val="28"/>
          <w:szCs w:val="28"/>
        </w:rPr>
        <w:t xml:space="preserve"> сельского поселения Тутаевского муниципального района Ярославской области (прилагается);</w:t>
      </w:r>
    </w:p>
    <w:p w:rsidR="00E8514E" w:rsidRPr="00D453B1" w:rsidRDefault="00E8514E" w:rsidP="00736CE2">
      <w:pPr>
        <w:pStyle w:val="ad"/>
        <w:spacing w:before="1"/>
        <w:ind w:left="0" w:right="-2" w:firstLine="851"/>
        <w:jc w:val="both"/>
        <w:rPr>
          <w:rFonts w:ascii="Times New Roman" w:hAnsi="Times New Roman"/>
          <w:sz w:val="28"/>
          <w:szCs w:val="28"/>
        </w:rPr>
      </w:pPr>
      <w:r w:rsidRPr="00D453B1">
        <w:rPr>
          <w:rFonts w:ascii="Times New Roman" w:hAnsi="Times New Roman"/>
          <w:sz w:val="28"/>
          <w:szCs w:val="28"/>
        </w:rPr>
        <w:t xml:space="preserve">- карта функциональных зон </w:t>
      </w:r>
      <w:proofErr w:type="spellStart"/>
      <w:r w:rsidRPr="00D453B1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Pr="00D453B1">
        <w:rPr>
          <w:rFonts w:ascii="Times New Roman" w:hAnsi="Times New Roman"/>
          <w:sz w:val="28"/>
          <w:szCs w:val="28"/>
        </w:rPr>
        <w:t xml:space="preserve"> сельского поселения Тутаевского муниципального района Ярославской области (прилагается);</w:t>
      </w:r>
    </w:p>
    <w:p w:rsidR="00E8514E" w:rsidRPr="00D453B1" w:rsidRDefault="00E8514E" w:rsidP="00736CE2">
      <w:pPr>
        <w:pStyle w:val="ad"/>
        <w:spacing w:before="1"/>
        <w:ind w:left="0" w:right="-2" w:firstLine="851"/>
        <w:jc w:val="both"/>
        <w:rPr>
          <w:rFonts w:ascii="Times New Roman" w:hAnsi="Times New Roman"/>
          <w:sz w:val="28"/>
          <w:szCs w:val="28"/>
        </w:rPr>
      </w:pPr>
      <w:r w:rsidRPr="00D453B1">
        <w:rPr>
          <w:rFonts w:ascii="Times New Roman" w:hAnsi="Times New Roman"/>
          <w:sz w:val="28"/>
          <w:szCs w:val="28"/>
        </w:rPr>
        <w:lastRenderedPageBreak/>
        <w:t xml:space="preserve">- карта планируемого размещения объектов местного значения </w:t>
      </w:r>
      <w:proofErr w:type="spellStart"/>
      <w:r w:rsidRPr="00D453B1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Pr="00D453B1">
        <w:rPr>
          <w:rFonts w:ascii="Times New Roman" w:hAnsi="Times New Roman"/>
          <w:sz w:val="28"/>
          <w:szCs w:val="28"/>
        </w:rPr>
        <w:t xml:space="preserve"> сельского поселения Тутаевского муниципального района Ярославской области (прилагается).</w:t>
      </w:r>
    </w:p>
    <w:p w:rsidR="00E8514E" w:rsidRPr="00D453B1" w:rsidRDefault="00E8514E" w:rsidP="00E8514E">
      <w:pPr>
        <w:pStyle w:val="ad"/>
        <w:numPr>
          <w:ilvl w:val="0"/>
          <w:numId w:val="5"/>
        </w:numPr>
        <w:spacing w:before="1"/>
        <w:ind w:left="0" w:right="-2" w:firstLine="851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D453B1">
        <w:rPr>
          <w:rFonts w:ascii="Times New Roman" w:hAnsi="Times New Roman"/>
          <w:sz w:val="28"/>
          <w:szCs w:val="28"/>
        </w:rPr>
        <w:t xml:space="preserve">Признать утратившими силу решения Муниципального Совета Тутаевского муниципального района от 18.06.2009г. № 25-г «Об утверждении Генерального плана и Правил землепользований и застройки </w:t>
      </w:r>
      <w:proofErr w:type="spellStart"/>
      <w:r w:rsidRPr="00D453B1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Pr="00D453B1">
        <w:rPr>
          <w:rFonts w:ascii="Times New Roman" w:hAnsi="Times New Roman"/>
          <w:sz w:val="28"/>
          <w:szCs w:val="28"/>
        </w:rPr>
        <w:t xml:space="preserve"> сельского поселения Тутаевского района Ярославской области» в части утверждения генерального плана </w:t>
      </w:r>
      <w:proofErr w:type="spellStart"/>
      <w:r w:rsidRPr="00D453B1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Pr="00D453B1">
        <w:rPr>
          <w:rFonts w:ascii="Times New Roman" w:hAnsi="Times New Roman"/>
          <w:sz w:val="28"/>
          <w:szCs w:val="28"/>
        </w:rPr>
        <w:t xml:space="preserve"> сельского поселения,</w:t>
      </w:r>
      <w:r w:rsidRPr="00D453B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453B1">
        <w:rPr>
          <w:rFonts w:ascii="Times New Roman" w:hAnsi="Times New Roman"/>
          <w:sz w:val="28"/>
          <w:szCs w:val="28"/>
        </w:rPr>
        <w:t xml:space="preserve">от 17.04.2014г. № 68-г «Об утверждении изменений в Генеральный план </w:t>
      </w:r>
      <w:proofErr w:type="spellStart"/>
      <w:r w:rsidRPr="00D453B1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Pr="00D453B1">
        <w:rPr>
          <w:rFonts w:ascii="Times New Roman" w:hAnsi="Times New Roman"/>
          <w:sz w:val="28"/>
          <w:szCs w:val="28"/>
        </w:rPr>
        <w:t xml:space="preserve"> сельского поселения Тутаевского района Ярославской области».</w:t>
      </w:r>
      <w:proofErr w:type="gramEnd"/>
    </w:p>
    <w:p w:rsidR="00E8514E" w:rsidRPr="00D453B1" w:rsidRDefault="00E8514E" w:rsidP="00E8514E">
      <w:pPr>
        <w:pStyle w:val="ad"/>
        <w:numPr>
          <w:ilvl w:val="0"/>
          <w:numId w:val="5"/>
        </w:numPr>
        <w:spacing w:before="1"/>
        <w:ind w:left="0" w:right="-2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53B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453B1">
        <w:rPr>
          <w:rFonts w:ascii="Times New Roman" w:hAnsi="Times New Roman"/>
          <w:sz w:val="28"/>
          <w:szCs w:val="28"/>
        </w:rPr>
        <w:t xml:space="preserve"> Генеральный план </w:t>
      </w:r>
      <w:proofErr w:type="spellStart"/>
      <w:r w:rsidRPr="00D453B1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Pr="00D453B1">
        <w:rPr>
          <w:rFonts w:ascii="Times New Roman" w:hAnsi="Times New Roman"/>
          <w:sz w:val="28"/>
          <w:szCs w:val="28"/>
        </w:rPr>
        <w:t xml:space="preserve"> сельского поселения Тутаевского муниципального района Ярославской области, утвержденный настоящим Решением, в Федеральной государственной информационной системе территориального планирования. Опубликовать решение Муниципального Совета Тутаевского муниципального района «Об утверждении Генерального плана </w:t>
      </w:r>
      <w:proofErr w:type="spellStart"/>
      <w:r w:rsidRPr="00D453B1">
        <w:rPr>
          <w:rFonts w:ascii="Times New Roman" w:hAnsi="Times New Roman"/>
          <w:sz w:val="28"/>
          <w:szCs w:val="28"/>
        </w:rPr>
        <w:t>Чебаковского</w:t>
      </w:r>
      <w:proofErr w:type="spellEnd"/>
      <w:r w:rsidRPr="00D453B1">
        <w:rPr>
          <w:rFonts w:ascii="Times New Roman" w:hAnsi="Times New Roman"/>
          <w:sz w:val="28"/>
          <w:szCs w:val="28"/>
        </w:rPr>
        <w:t xml:space="preserve"> сельского поселения Тутаевского муниципального района Ярославской области» в </w:t>
      </w:r>
      <w:proofErr w:type="spellStart"/>
      <w:r w:rsidRPr="00D453B1">
        <w:rPr>
          <w:rFonts w:ascii="Times New Roman" w:hAnsi="Times New Roman"/>
          <w:sz w:val="28"/>
          <w:szCs w:val="28"/>
        </w:rPr>
        <w:t>Тутаевской</w:t>
      </w:r>
      <w:proofErr w:type="spellEnd"/>
      <w:r w:rsidRPr="00D453B1">
        <w:rPr>
          <w:rFonts w:ascii="Times New Roman" w:hAnsi="Times New Roman"/>
          <w:sz w:val="28"/>
          <w:szCs w:val="28"/>
        </w:rPr>
        <w:t xml:space="preserve"> массовой муниципальной газете «Берега», а также разместить на официальном сайте Администрации Тутаевского муниципального района.</w:t>
      </w:r>
    </w:p>
    <w:p w:rsidR="00E8514E" w:rsidRPr="00D453B1" w:rsidRDefault="00E8514E" w:rsidP="00E8514E">
      <w:pPr>
        <w:pStyle w:val="ad"/>
        <w:numPr>
          <w:ilvl w:val="0"/>
          <w:numId w:val="5"/>
        </w:numPr>
        <w:spacing w:before="1"/>
        <w:ind w:left="0" w:right="-2" w:firstLine="851"/>
        <w:jc w:val="both"/>
        <w:rPr>
          <w:rFonts w:ascii="Times New Roman" w:hAnsi="Times New Roman"/>
          <w:sz w:val="28"/>
          <w:szCs w:val="28"/>
        </w:rPr>
      </w:pPr>
      <w:r w:rsidRPr="00D453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53B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453B1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 и вопросам местного самоуправления.</w:t>
      </w:r>
    </w:p>
    <w:p w:rsidR="00E8514E" w:rsidRPr="00D453B1" w:rsidRDefault="00E8514E" w:rsidP="00E8514E">
      <w:pPr>
        <w:pStyle w:val="ad"/>
        <w:numPr>
          <w:ilvl w:val="0"/>
          <w:numId w:val="5"/>
        </w:numPr>
        <w:spacing w:before="1"/>
        <w:ind w:left="0" w:right="-2" w:firstLine="851"/>
        <w:jc w:val="both"/>
        <w:rPr>
          <w:rFonts w:ascii="Times New Roman" w:hAnsi="Times New Roman"/>
          <w:sz w:val="28"/>
          <w:szCs w:val="28"/>
        </w:rPr>
      </w:pPr>
      <w:r w:rsidRPr="00D453B1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E8514E" w:rsidRDefault="00E8514E" w:rsidP="00E8514E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453B1" w:rsidRPr="00D453B1" w:rsidRDefault="00D453B1" w:rsidP="00E8514E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8514E" w:rsidRPr="00D453B1" w:rsidRDefault="00E8514E" w:rsidP="00E8514E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8514E" w:rsidRPr="00D453B1" w:rsidRDefault="00E8514E" w:rsidP="00BE3643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 w:rsidRPr="00D453B1">
        <w:rPr>
          <w:rFonts w:ascii="Times New Roman" w:hAnsi="Times New Roman" w:cs="Times New Roman"/>
          <w:sz w:val="28"/>
          <w:szCs w:val="28"/>
        </w:rPr>
        <w:t>Председатель Муниципального Совета</w:t>
      </w:r>
    </w:p>
    <w:p w:rsidR="00E8514E" w:rsidRPr="00D453B1" w:rsidRDefault="00E8514E" w:rsidP="00BE3643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 w:rsidRPr="00D453B1">
        <w:rPr>
          <w:rFonts w:ascii="Times New Roman" w:hAnsi="Times New Roman" w:cs="Times New Roman"/>
          <w:sz w:val="28"/>
          <w:szCs w:val="28"/>
        </w:rPr>
        <w:t>Тутаевского муниципального района                                        М. А. Ванюшкин</w:t>
      </w:r>
    </w:p>
    <w:p w:rsidR="00E8514E" w:rsidRPr="00D453B1" w:rsidRDefault="00E8514E" w:rsidP="00E8514E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8514E" w:rsidRDefault="00D453B1" w:rsidP="00E8514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3B1" w:rsidRPr="00D453B1" w:rsidRDefault="00D453B1" w:rsidP="00E8514E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8514E" w:rsidRPr="00D453B1" w:rsidRDefault="00E8514E" w:rsidP="00BE3643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 w:rsidRPr="00D453B1">
        <w:rPr>
          <w:rFonts w:ascii="Times New Roman" w:hAnsi="Times New Roman" w:cs="Times New Roman"/>
          <w:sz w:val="28"/>
          <w:szCs w:val="28"/>
        </w:rPr>
        <w:t xml:space="preserve">Глава Тутаевского </w:t>
      </w:r>
    </w:p>
    <w:p w:rsidR="00E8514E" w:rsidRPr="00D453B1" w:rsidRDefault="00E8514E" w:rsidP="00BE364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453B1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О. В. </w:t>
      </w:r>
      <w:proofErr w:type="spellStart"/>
      <w:r w:rsidRPr="00D453B1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</w:p>
    <w:p w:rsidR="00DF5AA6" w:rsidRDefault="00DF5AA6" w:rsidP="00BE3643">
      <w:pPr>
        <w:ind w:firstLine="0"/>
        <w:rPr>
          <w:sz w:val="28"/>
          <w:szCs w:val="28"/>
        </w:rPr>
      </w:pPr>
    </w:p>
    <w:p w:rsidR="00DF5AA6" w:rsidRDefault="00DF5AA6" w:rsidP="00BE3643">
      <w:pPr>
        <w:ind w:firstLine="0"/>
        <w:rPr>
          <w:sz w:val="28"/>
          <w:szCs w:val="28"/>
        </w:rPr>
      </w:pPr>
    </w:p>
    <w:p w:rsidR="00D453B1" w:rsidRDefault="00D453B1" w:rsidP="00BE3643">
      <w:pPr>
        <w:ind w:firstLine="0"/>
        <w:rPr>
          <w:sz w:val="28"/>
          <w:szCs w:val="28"/>
        </w:rPr>
      </w:pPr>
    </w:p>
    <w:p w:rsidR="00D453B1" w:rsidRDefault="00D453B1" w:rsidP="00BE3643">
      <w:pPr>
        <w:ind w:firstLine="0"/>
        <w:rPr>
          <w:sz w:val="28"/>
          <w:szCs w:val="28"/>
        </w:rPr>
      </w:pPr>
    </w:p>
    <w:p w:rsidR="00D453B1" w:rsidRDefault="00D453B1" w:rsidP="00BE3643">
      <w:pPr>
        <w:ind w:firstLine="0"/>
        <w:rPr>
          <w:sz w:val="28"/>
          <w:szCs w:val="28"/>
        </w:rPr>
      </w:pPr>
    </w:p>
    <w:p w:rsidR="00D453B1" w:rsidRDefault="00D453B1" w:rsidP="00BE3643">
      <w:pPr>
        <w:ind w:firstLine="0"/>
        <w:rPr>
          <w:sz w:val="28"/>
          <w:szCs w:val="28"/>
        </w:rPr>
      </w:pPr>
    </w:p>
    <w:p w:rsidR="00DF5AA6" w:rsidRDefault="00DF5AA6" w:rsidP="00BE3643">
      <w:pPr>
        <w:ind w:firstLine="0"/>
        <w:rPr>
          <w:sz w:val="28"/>
          <w:szCs w:val="28"/>
        </w:rPr>
      </w:pPr>
    </w:p>
    <w:p w:rsidR="00DF5AA6" w:rsidRDefault="00DF5AA6" w:rsidP="00DF5AA6">
      <w:pPr>
        <w:adjustRightInd w:val="0"/>
        <w:ind w:left="5812" w:firstLine="0"/>
        <w:jc w:val="left"/>
        <w:rPr>
          <w:rFonts w:eastAsiaTheme="minorHAnsi"/>
        </w:rPr>
      </w:pPr>
      <w:r w:rsidRPr="00091C98">
        <w:rPr>
          <w:rFonts w:eastAsiaTheme="minorHAnsi"/>
        </w:rPr>
        <w:t>Утвержден</w:t>
      </w:r>
    </w:p>
    <w:p w:rsidR="007A4F76" w:rsidRDefault="007A4F76" w:rsidP="00DF5AA6">
      <w:pPr>
        <w:adjustRightInd w:val="0"/>
        <w:ind w:left="5812" w:firstLine="0"/>
        <w:jc w:val="left"/>
        <w:rPr>
          <w:rFonts w:eastAsiaTheme="minorHAnsi"/>
        </w:rPr>
      </w:pPr>
      <w:r>
        <w:rPr>
          <w:rFonts w:eastAsiaTheme="minorHAnsi"/>
        </w:rPr>
        <w:t>Решением Муниципального Совета Тутаевского муниципального района</w:t>
      </w:r>
    </w:p>
    <w:p w:rsidR="00DF5AA6" w:rsidRDefault="00DF5AA6" w:rsidP="00DF5AA6">
      <w:pPr>
        <w:ind w:left="5812" w:firstLine="0"/>
        <w:jc w:val="left"/>
      </w:pPr>
      <w:r w:rsidRPr="00091C98">
        <w:t xml:space="preserve">от </w:t>
      </w:r>
      <w:r w:rsidR="00D453B1">
        <w:t xml:space="preserve">29.02.2024 </w:t>
      </w:r>
      <w:r w:rsidRPr="00091C98">
        <w:t>№</w:t>
      </w:r>
      <w:r w:rsidR="00D453B1">
        <w:t>03-г</w:t>
      </w:r>
    </w:p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ГЕНЕРАЛЬНЫЙ ПЛАН </w:t>
      </w:r>
    </w:p>
    <w:p w:rsidR="00DF5AA6" w:rsidRDefault="00DF5AA6" w:rsidP="00DF5AA6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ЧЕБАКОВСКОГО СЕЛЬСКОГО ПОСЕЛЕНИЯ </w:t>
      </w:r>
    </w:p>
    <w:p w:rsidR="00DF5AA6" w:rsidRDefault="00DF5AA6" w:rsidP="00DF5AA6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ТУТАЕВСКОГО МУНИЦИПАЛЬНОГО РАЙОНА</w:t>
      </w:r>
    </w:p>
    <w:p w:rsidR="00DF5AA6" w:rsidRDefault="00DF5AA6" w:rsidP="00DF5AA6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ЯРОСЛАВСКОЙ ОБЛАСТИ</w:t>
      </w:r>
    </w:p>
    <w:p w:rsidR="00DF5AA6" w:rsidRDefault="00DF5AA6" w:rsidP="00DF5AA6">
      <w:pPr>
        <w:ind w:firstLine="0"/>
        <w:jc w:val="center"/>
        <w:rPr>
          <w:b/>
        </w:rPr>
      </w:pPr>
    </w:p>
    <w:p w:rsidR="00DF5AA6" w:rsidRDefault="00DF5AA6" w:rsidP="00DF5AA6"/>
    <w:p w:rsidR="00DF5AA6" w:rsidRDefault="00DF5AA6" w:rsidP="00DF5AA6"/>
    <w:p w:rsidR="00DF5AA6" w:rsidRDefault="00DF5AA6" w:rsidP="00DF5AA6">
      <w:pPr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>
      <w:bookmarkStart w:id="0" w:name="_heading=h.gjdgxs" w:colFirst="0" w:colLast="0"/>
      <w:bookmarkEnd w:id="0"/>
    </w:p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/>
    <w:p w:rsidR="00DF5AA6" w:rsidRDefault="00DF5AA6" w:rsidP="00DF5AA6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2024 г.</w:t>
      </w:r>
    </w:p>
    <w:p w:rsidR="00DF5AA6" w:rsidRDefault="00DF5AA6" w:rsidP="00DF5AA6">
      <w:r>
        <w:br w:type="page"/>
      </w:r>
    </w:p>
    <w:p w:rsidR="00DF5AA6" w:rsidRPr="003B7D6E" w:rsidRDefault="00DF5AA6" w:rsidP="00DF5AA6">
      <w:pPr>
        <w:pStyle w:val="2"/>
        <w:shd w:val="clear" w:color="auto" w:fill="B8CCE4" w:themeFill="accent1" w:themeFillTint="66"/>
        <w:rPr>
          <w:rFonts w:ascii="Times New Roman" w:hAnsi="Times New Roman" w:cs="Times New Roman"/>
        </w:rPr>
      </w:pPr>
      <w:bookmarkStart w:id="1" w:name="_heading=h.30j0zll" w:colFirst="0" w:colLast="0"/>
      <w:bookmarkEnd w:id="1"/>
      <w:r w:rsidRPr="00F7133F">
        <w:rPr>
          <w:rFonts w:ascii="Times New Roman" w:hAnsi="Times New Roman" w:cs="Times New Roman"/>
          <w:b w:val="0"/>
        </w:rPr>
        <w:lastRenderedPageBreak/>
        <w:t>СОДЕРЖАНИЕ</w:t>
      </w:r>
    </w:p>
    <w:p w:rsidR="00DF5AA6" w:rsidRPr="00C0003D" w:rsidRDefault="00DF5AA6" w:rsidP="00DF5AA6">
      <w:pPr>
        <w:rPr>
          <w:rFonts w:ascii="Times New Roman" w:hAnsi="Times New Roman" w:cs="Times New Roman"/>
        </w:rPr>
      </w:pPr>
    </w:p>
    <w:p w:rsidR="00DF5AA6" w:rsidRPr="00C0003D" w:rsidRDefault="00DF5AA6" w:rsidP="00DF5AA6">
      <w:pPr>
        <w:ind w:firstLine="0"/>
        <w:rPr>
          <w:rFonts w:ascii="Times New Roman" w:hAnsi="Times New Roman" w:cs="Times New Roman"/>
          <w:color w:val="0563C1"/>
          <w:u w:val="single"/>
        </w:rPr>
      </w:pPr>
    </w:p>
    <w:p w:rsidR="007A03FF" w:rsidRPr="007A03FF" w:rsidRDefault="007A03FF" w:rsidP="007A03FF">
      <w:pPr>
        <w:rPr>
          <w:rFonts w:ascii="Times New Roman" w:hAnsi="Times New Roman" w:cs="Times New Roman"/>
          <w:sz w:val="28"/>
          <w:szCs w:val="28"/>
        </w:rPr>
      </w:pPr>
      <w:r w:rsidRPr="007A03FF">
        <w:rPr>
          <w:rFonts w:ascii="Times New Roman" w:hAnsi="Times New Roman" w:cs="Times New Roman"/>
          <w:sz w:val="28"/>
          <w:szCs w:val="28"/>
        </w:rPr>
        <w:t>СОДЕРЖАНИЕ………………………………………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7A03FF">
        <w:rPr>
          <w:rFonts w:ascii="Times New Roman" w:hAnsi="Times New Roman" w:cs="Times New Roman"/>
          <w:sz w:val="28"/>
          <w:szCs w:val="28"/>
        </w:rPr>
        <w:t>…………………….4</w:t>
      </w:r>
    </w:p>
    <w:p w:rsidR="007A03FF" w:rsidRPr="007A03FF" w:rsidRDefault="007A03FF" w:rsidP="007A03FF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03FF">
        <w:rPr>
          <w:rFonts w:ascii="Times New Roman" w:hAnsi="Times New Roman"/>
          <w:sz w:val="28"/>
          <w:szCs w:val="28"/>
        </w:rPr>
        <w:t>Сведения о планируемых для размещения объектах местного значения поселения ……………………………</w:t>
      </w:r>
      <w:r>
        <w:rPr>
          <w:rFonts w:ascii="Times New Roman" w:hAnsi="Times New Roman"/>
          <w:sz w:val="28"/>
          <w:szCs w:val="28"/>
        </w:rPr>
        <w:t>…</w:t>
      </w:r>
      <w:r w:rsidRPr="007A03FF">
        <w:rPr>
          <w:rFonts w:ascii="Times New Roman" w:hAnsi="Times New Roman"/>
          <w:sz w:val="28"/>
          <w:szCs w:val="28"/>
        </w:rPr>
        <w:t>……………………...5</w:t>
      </w:r>
    </w:p>
    <w:p w:rsidR="007A03FF" w:rsidRPr="007A03FF" w:rsidRDefault="007A03FF" w:rsidP="007A03FF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03FF">
        <w:rPr>
          <w:rFonts w:ascii="Times New Roman" w:hAnsi="Times New Roman"/>
          <w:sz w:val="28"/>
          <w:szCs w:val="28"/>
        </w:rPr>
        <w:t>Параметры функциональных зон ……………………………………...8</w:t>
      </w:r>
    </w:p>
    <w:p w:rsidR="007A03FF" w:rsidRPr="007A03FF" w:rsidRDefault="007A03FF" w:rsidP="007A03FF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03FF">
        <w:rPr>
          <w:rFonts w:ascii="Times New Roman" w:hAnsi="Times New Roman"/>
          <w:sz w:val="28"/>
          <w:szCs w:val="28"/>
        </w:rPr>
        <w:t>Сведения о планируемых для размещения объектах регионального значения поселения…………………………………………………</w:t>
      </w:r>
      <w:r>
        <w:rPr>
          <w:rFonts w:ascii="Times New Roman" w:hAnsi="Times New Roman"/>
          <w:sz w:val="28"/>
          <w:szCs w:val="28"/>
        </w:rPr>
        <w:t>..</w:t>
      </w:r>
      <w:r w:rsidRPr="007A03FF">
        <w:rPr>
          <w:rFonts w:ascii="Times New Roman" w:hAnsi="Times New Roman"/>
          <w:sz w:val="28"/>
          <w:szCs w:val="28"/>
        </w:rPr>
        <w:t>...10</w:t>
      </w:r>
    </w:p>
    <w:p w:rsidR="007A03FF" w:rsidRPr="007A03FF" w:rsidRDefault="007A03FF" w:rsidP="007A03FF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03FF">
        <w:rPr>
          <w:rFonts w:ascii="Times New Roman" w:hAnsi="Times New Roman"/>
          <w:sz w:val="28"/>
          <w:szCs w:val="28"/>
        </w:rPr>
        <w:t>Сведения о планируемых для размещения объектах федерального значения…</w:t>
      </w:r>
      <w:r>
        <w:rPr>
          <w:rFonts w:ascii="Times New Roman" w:hAnsi="Times New Roman"/>
          <w:sz w:val="28"/>
          <w:szCs w:val="28"/>
        </w:rPr>
        <w:t>……………………………………………………</w:t>
      </w:r>
      <w:r w:rsidR="00D453B1"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……….</w:t>
      </w:r>
      <w:r w:rsidRPr="007A03FF">
        <w:rPr>
          <w:rFonts w:ascii="Times New Roman" w:hAnsi="Times New Roman"/>
          <w:sz w:val="28"/>
          <w:szCs w:val="28"/>
        </w:rPr>
        <w:t>11</w:t>
      </w:r>
    </w:p>
    <w:p w:rsidR="007A03FF" w:rsidRPr="007A03FF" w:rsidRDefault="007A03FF" w:rsidP="007A03FF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03FF">
        <w:rPr>
          <w:rFonts w:ascii="Times New Roman" w:hAnsi="Times New Roman"/>
          <w:sz w:val="28"/>
          <w:szCs w:val="28"/>
        </w:rPr>
        <w:t>Сведения о планируемых для размещения объектах местного значения муниципального района………</w:t>
      </w:r>
      <w:r>
        <w:rPr>
          <w:rFonts w:ascii="Times New Roman" w:hAnsi="Times New Roman"/>
          <w:sz w:val="28"/>
          <w:szCs w:val="28"/>
        </w:rPr>
        <w:t>…</w:t>
      </w:r>
      <w:r w:rsidRPr="007A03FF">
        <w:rPr>
          <w:rFonts w:ascii="Times New Roman" w:hAnsi="Times New Roman"/>
          <w:sz w:val="28"/>
          <w:szCs w:val="28"/>
        </w:rPr>
        <w:t>…………………………..12</w:t>
      </w:r>
    </w:p>
    <w:p w:rsidR="00DF5AA6" w:rsidRPr="007A03FF" w:rsidRDefault="00DF5AA6" w:rsidP="00DF5AA6">
      <w:pPr>
        <w:pBdr>
          <w:top w:val="nil"/>
          <w:left w:val="nil"/>
          <w:bottom w:val="nil"/>
          <w:right w:val="nil"/>
          <w:between w:val="nil"/>
        </w:pBdr>
        <w:tabs>
          <w:tab w:val="left" w:pos="1760"/>
          <w:tab w:val="right" w:pos="9912"/>
        </w:tabs>
        <w:ind w:firstLine="0"/>
        <w:rPr>
          <w:rFonts w:ascii="Times New Roman" w:hAnsi="Times New Roman" w:cs="Times New Roman"/>
          <w:sz w:val="28"/>
          <w:szCs w:val="28"/>
        </w:rPr>
        <w:sectPr w:rsidR="00DF5AA6" w:rsidRPr="007A03FF" w:rsidSect="00D453B1">
          <w:footerReference w:type="default" r:id="rId10"/>
          <w:pgSz w:w="11906" w:h="16838"/>
          <w:pgMar w:top="851" w:right="851" w:bottom="851" w:left="1701" w:header="709" w:footer="709" w:gutter="0"/>
          <w:pgNumType w:start="1"/>
          <w:cols w:space="720"/>
          <w:titlePg/>
        </w:sectPr>
      </w:pPr>
      <w:r w:rsidRPr="007A03FF">
        <w:rPr>
          <w:rFonts w:ascii="Times New Roman" w:hAnsi="Times New Roman" w:cs="Times New Roman"/>
          <w:sz w:val="28"/>
          <w:szCs w:val="28"/>
        </w:rPr>
        <w:br w:type="page"/>
      </w:r>
      <w:bookmarkStart w:id="2" w:name="_GoBack"/>
      <w:bookmarkEnd w:id="2"/>
    </w:p>
    <w:p w:rsidR="00DF5AA6" w:rsidRPr="003B7D6E" w:rsidRDefault="00DF5AA6" w:rsidP="00DF5AA6">
      <w:pPr>
        <w:pStyle w:val="1"/>
        <w:numPr>
          <w:ilvl w:val="0"/>
          <w:numId w:val="6"/>
        </w:numPr>
        <w:shd w:val="clear" w:color="auto" w:fill="B8CCE4" w:themeFill="accent1" w:themeFillTint="66"/>
        <w:ind w:left="0" w:firstLine="567"/>
        <w:rPr>
          <w:rFonts w:ascii="Times New Roman" w:hAnsi="Times New Roman" w:cs="Times New Roman"/>
          <w:color w:val="auto"/>
        </w:rPr>
      </w:pPr>
      <w:bookmarkStart w:id="3" w:name="_heading=h.1fob9te" w:colFirst="0" w:colLast="0"/>
      <w:bookmarkEnd w:id="3"/>
      <w:r w:rsidRPr="003B7D6E">
        <w:rPr>
          <w:rFonts w:ascii="Times New Roman" w:hAnsi="Times New Roman" w:cs="Times New Roman"/>
          <w:color w:val="auto"/>
        </w:rPr>
        <w:lastRenderedPageBreak/>
        <w:t>Сведения о планируемых для размещения объект</w:t>
      </w:r>
      <w:r>
        <w:rPr>
          <w:rFonts w:ascii="Times New Roman" w:hAnsi="Times New Roman" w:cs="Times New Roman"/>
          <w:color w:val="auto"/>
        </w:rPr>
        <w:t>ах местного значения поселения</w:t>
      </w:r>
    </w:p>
    <w:p w:rsidR="00DF5AA6" w:rsidRDefault="00DF5AA6" w:rsidP="00DF5AA6">
      <w:pPr>
        <w:jc w:val="right"/>
      </w:pPr>
    </w:p>
    <w:p w:rsidR="00DF5AA6" w:rsidRDefault="00DF5AA6" w:rsidP="00DF5AA6">
      <w:pPr>
        <w:jc w:val="right"/>
      </w:pPr>
      <w:r>
        <w:t>Таблица 1</w:t>
      </w:r>
    </w:p>
    <w:tbl>
      <w:tblPr>
        <w:tblW w:w="14860" w:type="dxa"/>
        <w:jc w:val="center"/>
        <w:tblInd w:w="-4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7"/>
        <w:gridCol w:w="2693"/>
        <w:gridCol w:w="1843"/>
        <w:gridCol w:w="1985"/>
        <w:gridCol w:w="1701"/>
        <w:gridCol w:w="1984"/>
        <w:gridCol w:w="1760"/>
        <w:gridCol w:w="2197"/>
      </w:tblGrid>
      <w:tr w:rsidR="00DF5AA6" w:rsidTr="009C57D6">
        <w:trPr>
          <w:jc w:val="center"/>
        </w:trPr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2767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2767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Назначение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характеристики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1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Функциональная зона</w:t>
            </w: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зоны с особыми условиями использования территории</w:t>
            </w:r>
          </w:p>
        </w:tc>
      </w:tr>
      <w:tr w:rsidR="00DF5AA6" w:rsidTr="009C57D6">
        <w:trPr>
          <w:jc w:val="center"/>
        </w:trPr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DF5AA6" w:rsidRPr="00F27676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Межпоселковый газопровод от пос.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Никульское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 до пос.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Чебаково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 Тутаевского МР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Линейный объект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природным газом потребителей </w:t>
            </w:r>
          </w:p>
          <w:p w:rsidR="00DF5AA6" w:rsidRPr="00F27676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Протяженность</w:t>
            </w:r>
          </w:p>
          <w:p w:rsidR="00DF5AA6" w:rsidRPr="00F27676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9.8 км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от пос.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Никульское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 до пос.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Чебаково</w:t>
            </w:r>
            <w:proofErr w:type="spellEnd"/>
          </w:p>
        </w:tc>
        <w:tc>
          <w:tcPr>
            <w:tcW w:w="1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ind w:firstLine="0"/>
              <w:jc w:val="center"/>
              <w:rPr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охранная зона трубопроводов (газопроводов, нефтепроводов и нефтепродуктопроводов,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аммиакопроводов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F5AA6" w:rsidTr="009C57D6">
        <w:trPr>
          <w:jc w:val="center"/>
        </w:trPr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:rsidR="00DF5AA6" w:rsidRPr="00F27676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Газораспределительные сети дер. Малое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Масленниково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, дер. Большое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Масленниково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, дер. Волково, дер.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Богатырево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, дер. Филимоново, дер.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Белешино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, дер.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Горинское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, дер. Сальково, дер.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Саматово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, дер.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Тамарово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р. Кирилловское, дер. Константиново, дер. Медведево, дер. Афанасово, пос.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Чебаково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 Тутаевского МР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Линейный объект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природным газом потребителей </w:t>
            </w:r>
          </w:p>
          <w:p w:rsidR="00DF5AA6" w:rsidRPr="00F27676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Протяженность</w:t>
            </w:r>
          </w:p>
          <w:p w:rsidR="00DF5AA6" w:rsidRPr="00F27676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12 км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дер. Малое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Масленниково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, дер. Большое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Масленниково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, дер. Волково, дер.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Богатырево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, дер. Филимоново, дер.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Белешино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, дер.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Горинское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, дер. Сальково, дер.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Саматово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, дер.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Тамарово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р. Кирилловское, дер. Константиново, дер. Медведево, дер. Афанасово, пос.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Чебаково</w:t>
            </w:r>
            <w:proofErr w:type="spellEnd"/>
            <w:proofErr w:type="gramEnd"/>
          </w:p>
        </w:tc>
        <w:tc>
          <w:tcPr>
            <w:tcW w:w="1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F27676" w:rsidRDefault="00DF5AA6" w:rsidP="009C57D6">
            <w:pPr>
              <w:ind w:firstLine="0"/>
              <w:jc w:val="center"/>
              <w:rPr>
                <w:sz w:val="20"/>
                <w:szCs w:val="20"/>
              </w:rPr>
            </w:pPr>
            <w:r w:rsidRPr="00F27676">
              <w:rPr>
                <w:rFonts w:ascii="Times New Roman" w:hAnsi="Times New Roman" w:cs="Times New Roman"/>
                <w:sz w:val="20"/>
                <w:szCs w:val="20"/>
              </w:rPr>
              <w:t xml:space="preserve">охранная зона трубопроводов (газопроводов, нефтепроводов и нефтепродуктопроводов, </w:t>
            </w:r>
            <w:proofErr w:type="spellStart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аммиакопроводов</w:t>
            </w:r>
            <w:proofErr w:type="spellEnd"/>
            <w:r w:rsidRPr="00F276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DF5AA6" w:rsidRDefault="00DF5AA6" w:rsidP="00DF5AA6">
      <w:pPr>
        <w:ind w:firstLine="0"/>
        <w:jc w:val="center"/>
        <w:rPr>
          <w:b/>
          <w:sz w:val="20"/>
          <w:szCs w:val="20"/>
        </w:rPr>
        <w:sectPr w:rsidR="00DF5AA6" w:rsidSect="00DF5AA6">
          <w:pgSz w:w="16838" w:h="11906" w:orient="landscape"/>
          <w:pgMar w:top="1701" w:right="851" w:bottom="851" w:left="851" w:header="709" w:footer="709" w:gutter="0"/>
          <w:pgNumType w:start="1"/>
          <w:cols w:space="720"/>
          <w:titlePg/>
        </w:sectPr>
      </w:pPr>
    </w:p>
    <w:p w:rsidR="00DF5AA6" w:rsidRDefault="00DF5AA6" w:rsidP="00DF5AA6">
      <w:pPr>
        <w:ind w:firstLine="0"/>
        <w:jc w:val="center"/>
        <w:rPr>
          <w:b/>
          <w:sz w:val="20"/>
          <w:szCs w:val="20"/>
        </w:rPr>
      </w:pPr>
    </w:p>
    <w:p w:rsidR="00DF5AA6" w:rsidRDefault="00DF5AA6" w:rsidP="00DF5AA6">
      <w:pPr>
        <w:ind w:firstLine="0"/>
        <w:jc w:val="center"/>
        <w:rPr>
          <w:b/>
          <w:sz w:val="20"/>
          <w:szCs w:val="20"/>
        </w:rPr>
      </w:pPr>
    </w:p>
    <w:p w:rsidR="00DF5AA6" w:rsidRPr="003B7D6E" w:rsidRDefault="00DF5AA6" w:rsidP="00DF5AA6">
      <w:pPr>
        <w:pStyle w:val="1"/>
        <w:numPr>
          <w:ilvl w:val="0"/>
          <w:numId w:val="6"/>
        </w:numPr>
        <w:shd w:val="clear" w:color="auto" w:fill="B8CCE4" w:themeFill="accent1" w:themeFillTint="66"/>
        <w:ind w:left="0"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Параметры функциональных зон</w:t>
      </w:r>
    </w:p>
    <w:p w:rsidR="00DF5AA6" w:rsidRPr="00F67E3B" w:rsidRDefault="00DF5AA6" w:rsidP="00DF5AA6">
      <w:pPr>
        <w:pStyle w:val="ad"/>
        <w:rPr>
          <w:rFonts w:ascii="Times New Roman" w:eastAsia="Times New Roman" w:hAnsi="Times New Roman"/>
        </w:rPr>
      </w:pPr>
    </w:p>
    <w:p w:rsidR="00DF5AA6" w:rsidRPr="003470D1" w:rsidRDefault="00DF5AA6" w:rsidP="00DF5AA6">
      <w:pPr>
        <w:pStyle w:val="ad"/>
        <w:ind w:left="-142" w:firstLine="502"/>
        <w:rPr>
          <w:rFonts w:ascii="Times New Roman" w:eastAsia="Times New Roman" w:hAnsi="Times New Roman"/>
        </w:rPr>
      </w:pPr>
      <w:r w:rsidRPr="003470D1">
        <w:rPr>
          <w:rFonts w:ascii="Times New Roman" w:eastAsia="Times New Roman" w:hAnsi="Times New Roman"/>
          <w:b/>
        </w:rPr>
        <w:t>Зона застройки индивидуальными жилыми домами</w:t>
      </w:r>
      <w:r w:rsidRPr="003470D1">
        <w:rPr>
          <w:rFonts w:ascii="Times New Roman" w:eastAsia="Times New Roman" w:hAnsi="Times New Roman"/>
        </w:rPr>
        <w:t xml:space="preserve"> предназначена для размещения индивидуальных и блокированных жилых домов (не выше 3-х надземных этажей, включая </w:t>
      </w:r>
      <w:proofErr w:type="gramStart"/>
      <w:r w:rsidRPr="003470D1">
        <w:rPr>
          <w:rFonts w:ascii="Times New Roman" w:eastAsia="Times New Roman" w:hAnsi="Times New Roman"/>
        </w:rPr>
        <w:t>мансардный</w:t>
      </w:r>
      <w:proofErr w:type="gramEnd"/>
      <w:r w:rsidRPr="003470D1">
        <w:rPr>
          <w:rFonts w:ascii="Times New Roman" w:eastAsia="Times New Roman" w:hAnsi="Times New Roman"/>
        </w:rPr>
        <w:t>), с приусадебными земельными участками. Обслуживание жилой застройки предполагает размещение объектов капитального строительства, связанных с удовлетворением повседневных потребностей жителей, не причиняет вред окружающей среде и санитарному благополучию, не причиняет существенного неудобства жителям, не требует установления санитарной зоны.</w:t>
      </w:r>
    </w:p>
    <w:p w:rsidR="00DF5AA6" w:rsidRPr="003470D1" w:rsidRDefault="00DF5AA6" w:rsidP="00DF5AA6">
      <w:pPr>
        <w:pStyle w:val="ad"/>
        <w:ind w:left="-142" w:firstLine="502"/>
        <w:rPr>
          <w:rFonts w:ascii="Times New Roman" w:eastAsia="Times New Roman" w:hAnsi="Times New Roman"/>
          <w:b/>
        </w:rPr>
      </w:pPr>
    </w:p>
    <w:p w:rsidR="00DF5AA6" w:rsidRPr="003470D1" w:rsidRDefault="00DF5AA6" w:rsidP="00DF5AA6">
      <w:pPr>
        <w:pStyle w:val="ad"/>
        <w:ind w:left="-142" w:firstLine="502"/>
        <w:rPr>
          <w:rFonts w:ascii="Times New Roman" w:eastAsia="Times New Roman" w:hAnsi="Times New Roman"/>
        </w:rPr>
      </w:pPr>
      <w:r w:rsidRPr="003470D1">
        <w:rPr>
          <w:rFonts w:ascii="Times New Roman" w:eastAsia="Times New Roman" w:hAnsi="Times New Roman"/>
          <w:b/>
        </w:rPr>
        <w:t xml:space="preserve">Зона застройки малоэтажными жилыми </w:t>
      </w:r>
      <w:r w:rsidRPr="00254066">
        <w:rPr>
          <w:rFonts w:ascii="Times New Roman" w:eastAsia="Times New Roman" w:hAnsi="Times New Roman"/>
          <w:b/>
        </w:rPr>
        <w:t xml:space="preserve">домами (до 4 этажей, включая </w:t>
      </w:r>
      <w:proofErr w:type="gramStart"/>
      <w:r w:rsidRPr="00254066">
        <w:rPr>
          <w:rFonts w:ascii="Times New Roman" w:eastAsia="Times New Roman" w:hAnsi="Times New Roman"/>
          <w:b/>
        </w:rPr>
        <w:t>мансардный</w:t>
      </w:r>
      <w:proofErr w:type="gramEnd"/>
      <w:r w:rsidRPr="00254066">
        <w:rPr>
          <w:rFonts w:ascii="Times New Roman" w:eastAsia="Times New Roman" w:hAnsi="Times New Roman"/>
          <w:b/>
        </w:rPr>
        <w:t>)</w:t>
      </w:r>
      <w:r>
        <w:rPr>
          <w:rFonts w:ascii="Times New Roman" w:eastAsia="Times New Roman" w:hAnsi="Times New Roman"/>
        </w:rPr>
        <w:t xml:space="preserve"> </w:t>
      </w:r>
      <w:r w:rsidRPr="003470D1">
        <w:rPr>
          <w:rFonts w:ascii="Times New Roman" w:eastAsia="Times New Roman" w:hAnsi="Times New Roman"/>
        </w:rPr>
        <w:t>предназначена для размещения индивидуальных и блокированных жилых домов (не выше 3-х надземных этажей) с приусадебными земельными участками и многоквартирных жилых домов (до 4 этажей, включая мансардный). Обслуживание жилой застройки предполагает размещение объектов недвижимости, связанных с удовлетворением повседневных потребностей жителей, не причиняет вред окружающей среде и санитарному благополучию, не причиняет существенного неудобства жителям, не требует установления санитарной зоны. Возможность размещения объектов обслуживания жилой застройки во встроенных, пристроенных и встроено-пристроенных помещениях малоэтажного многоквартирного дома, при условии, если общая площадь таких помещений в малоэтажном многоквартирном доме не составляет более 15% общей площади помещений дома.</w:t>
      </w:r>
    </w:p>
    <w:p w:rsidR="00DF5AA6" w:rsidRPr="003470D1" w:rsidRDefault="00DF5AA6" w:rsidP="00DF5AA6">
      <w:pPr>
        <w:pStyle w:val="ad"/>
        <w:ind w:left="-142" w:firstLine="502"/>
        <w:rPr>
          <w:rFonts w:ascii="Times New Roman" w:eastAsia="Times New Roman" w:hAnsi="Times New Roman"/>
          <w:b/>
        </w:rPr>
      </w:pPr>
    </w:p>
    <w:p w:rsidR="00DF5AA6" w:rsidRPr="003470D1" w:rsidRDefault="00DF5AA6" w:rsidP="00DF5AA6">
      <w:pPr>
        <w:ind w:left="-142" w:firstLine="502"/>
        <w:rPr>
          <w:rFonts w:ascii="Times New Roman" w:hAnsi="Times New Roman" w:cs="Times New Roman"/>
        </w:rPr>
      </w:pPr>
      <w:r w:rsidRPr="003470D1">
        <w:rPr>
          <w:rFonts w:ascii="Times New Roman" w:hAnsi="Times New Roman" w:cs="Times New Roman"/>
          <w:b/>
        </w:rPr>
        <w:t>Многофункциональная общественно-деловая зона</w:t>
      </w:r>
      <w:r w:rsidRPr="003470D1">
        <w:rPr>
          <w:rFonts w:ascii="Times New Roman" w:hAnsi="Times New Roman" w:cs="Times New Roman"/>
        </w:rPr>
        <w:t xml:space="preserve">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:rsidR="00DF5AA6" w:rsidRPr="003470D1" w:rsidRDefault="00DF5AA6" w:rsidP="00DF5AA6">
      <w:pPr>
        <w:ind w:left="-142" w:firstLine="0"/>
        <w:rPr>
          <w:rFonts w:ascii="Times New Roman" w:hAnsi="Times New Roman" w:cs="Times New Roman"/>
        </w:rPr>
      </w:pPr>
    </w:p>
    <w:p w:rsidR="00DF5AA6" w:rsidRPr="003470D1" w:rsidRDefault="00DF5AA6" w:rsidP="00DF5AA6">
      <w:pPr>
        <w:ind w:left="-142" w:firstLine="502"/>
        <w:rPr>
          <w:rFonts w:ascii="Times New Roman" w:hAnsi="Times New Roman" w:cs="Times New Roman"/>
        </w:rPr>
      </w:pPr>
      <w:proofErr w:type="gramStart"/>
      <w:r w:rsidRPr="003470D1">
        <w:rPr>
          <w:rFonts w:ascii="Times New Roman" w:hAnsi="Times New Roman" w:cs="Times New Roman"/>
          <w:b/>
        </w:rPr>
        <w:t>Зона специализированной общественной застройки</w:t>
      </w:r>
      <w:r w:rsidRPr="003470D1">
        <w:rPr>
          <w:rFonts w:ascii="Times New Roman" w:hAnsi="Times New Roman" w:cs="Times New Roman"/>
        </w:rPr>
        <w:t xml:space="preserve"> предназначена для обеспечения условий размещения объектов капитального строительства дошкольных образовательных организаций, общеобразовательных организаций, организаций дополнительного образования, профессионального и высшего образования, специальных учебно-воспитательных учреждений для обучающихся с </w:t>
      </w:r>
      <w:proofErr w:type="spellStart"/>
      <w:r w:rsidRPr="003470D1">
        <w:rPr>
          <w:rFonts w:ascii="Times New Roman" w:hAnsi="Times New Roman" w:cs="Times New Roman"/>
        </w:rPr>
        <w:t>девиантным</w:t>
      </w:r>
      <w:proofErr w:type="spellEnd"/>
      <w:r w:rsidRPr="003470D1">
        <w:rPr>
          <w:rFonts w:ascii="Times New Roman" w:hAnsi="Times New Roman" w:cs="Times New Roman"/>
        </w:rPr>
        <w:t xml:space="preserve"> (общественно опасным) поведением, научных организаций, объектов культуры и искусства, объектов здравоохранения, объектов социального назначения, объектов физической культуры и массового спорта, культовых зданий и сооружений, специализированной общественной застройки иных видов.</w:t>
      </w:r>
      <w:proofErr w:type="gramEnd"/>
    </w:p>
    <w:p w:rsidR="00DF5AA6" w:rsidRDefault="00DF5AA6" w:rsidP="00DF5AA6">
      <w:pPr>
        <w:ind w:left="-142" w:firstLine="502"/>
        <w:rPr>
          <w:rFonts w:ascii="Times New Roman" w:hAnsi="Times New Roman" w:cs="Times New Roman"/>
          <w:b/>
        </w:rPr>
      </w:pPr>
    </w:p>
    <w:p w:rsidR="00DF5AA6" w:rsidRPr="003470D1" w:rsidRDefault="00DF5AA6" w:rsidP="00DF5AA6">
      <w:pPr>
        <w:ind w:left="-142" w:firstLine="502"/>
        <w:rPr>
          <w:rFonts w:ascii="Times New Roman" w:hAnsi="Times New Roman" w:cs="Times New Roman"/>
        </w:rPr>
      </w:pPr>
      <w:r w:rsidRPr="003470D1">
        <w:rPr>
          <w:rFonts w:ascii="Times New Roman" w:hAnsi="Times New Roman" w:cs="Times New Roman"/>
          <w:b/>
        </w:rPr>
        <w:t>Производственная зона</w:t>
      </w:r>
      <w:r w:rsidRPr="003470D1">
        <w:rPr>
          <w:rFonts w:ascii="Times New Roman" w:hAnsi="Times New Roman" w:cs="Times New Roman"/>
        </w:rPr>
        <w:t xml:space="preserve"> предназначена для размещения промышленных объектов различных классов вредности. В производственных зонах допускается размещение объектов транспортно-логистического, складского назначения и инженерной инфраструктуры, а также объектов общественно-деловой застройки, связанных с обслуживанием данной зоны. </w:t>
      </w:r>
    </w:p>
    <w:p w:rsidR="00DF5AA6" w:rsidRPr="003470D1" w:rsidRDefault="00DF5AA6" w:rsidP="00DF5AA6">
      <w:pPr>
        <w:ind w:left="-142" w:firstLine="502"/>
        <w:rPr>
          <w:rFonts w:ascii="Times New Roman" w:hAnsi="Times New Roman" w:cs="Times New Roman"/>
        </w:rPr>
      </w:pPr>
    </w:p>
    <w:p w:rsidR="00DF5AA6" w:rsidRPr="003470D1" w:rsidRDefault="00DF5AA6" w:rsidP="00DF5AA6">
      <w:pPr>
        <w:ind w:left="-142" w:firstLine="502"/>
        <w:rPr>
          <w:rFonts w:ascii="Times New Roman" w:hAnsi="Times New Roman" w:cs="Times New Roman"/>
        </w:rPr>
      </w:pPr>
      <w:r w:rsidRPr="003470D1">
        <w:rPr>
          <w:rFonts w:ascii="Times New Roman" w:hAnsi="Times New Roman" w:cs="Times New Roman"/>
          <w:b/>
        </w:rPr>
        <w:t xml:space="preserve">Коммунально-складская зона </w:t>
      </w:r>
      <w:r w:rsidRPr="003470D1">
        <w:rPr>
          <w:rFonts w:ascii="Times New Roman" w:hAnsi="Times New Roman" w:cs="Times New Roman"/>
        </w:rPr>
        <w:t>предназначены для размещения групп предприятий и отдельных объектов, обеспечивающих потребности городского хозяйства и населения в складах, коммунальных и бытовых услугах, а также связанных с ними обслуживающих и вспомогательных учреждений.</w:t>
      </w:r>
    </w:p>
    <w:p w:rsidR="00DF5AA6" w:rsidRPr="003470D1" w:rsidRDefault="00DF5AA6" w:rsidP="00DF5AA6">
      <w:pPr>
        <w:ind w:left="-142" w:firstLine="0"/>
        <w:rPr>
          <w:rFonts w:ascii="Times New Roman" w:hAnsi="Times New Roman" w:cs="Times New Roman"/>
          <w:b/>
        </w:rPr>
      </w:pPr>
    </w:p>
    <w:p w:rsidR="00DF5AA6" w:rsidRPr="003470D1" w:rsidRDefault="00DF5AA6" w:rsidP="00DF5AA6">
      <w:pPr>
        <w:ind w:left="-142" w:firstLine="502"/>
        <w:rPr>
          <w:rFonts w:ascii="Times New Roman" w:hAnsi="Times New Roman" w:cs="Times New Roman"/>
        </w:rPr>
      </w:pPr>
      <w:r w:rsidRPr="003470D1">
        <w:rPr>
          <w:rFonts w:ascii="Times New Roman" w:hAnsi="Times New Roman" w:cs="Times New Roman"/>
          <w:b/>
        </w:rPr>
        <w:t>Зона инженерной инфраструктуры</w:t>
      </w:r>
      <w:r w:rsidRPr="003470D1">
        <w:rPr>
          <w:rFonts w:ascii="Times New Roman" w:hAnsi="Times New Roman" w:cs="Times New Roman"/>
        </w:rPr>
        <w:t xml:space="preserve"> предназначена для размещения коммунальных сетей и объектов. В зоне инженерной инфраструктуры допускается размещение объектов, связанных с обслуживанием данной зоны.</w:t>
      </w:r>
    </w:p>
    <w:p w:rsidR="00DF5AA6" w:rsidRPr="003470D1" w:rsidRDefault="00DF5AA6" w:rsidP="00DF5AA6">
      <w:pPr>
        <w:ind w:left="-142" w:firstLine="0"/>
        <w:rPr>
          <w:rFonts w:ascii="Times New Roman" w:hAnsi="Times New Roman" w:cs="Times New Roman"/>
        </w:rPr>
      </w:pPr>
    </w:p>
    <w:p w:rsidR="00DF5AA6" w:rsidRPr="003470D1" w:rsidRDefault="00DF5AA6" w:rsidP="00DF5AA6">
      <w:pPr>
        <w:ind w:left="-142" w:firstLine="502"/>
        <w:rPr>
          <w:rFonts w:ascii="Times New Roman" w:hAnsi="Times New Roman" w:cs="Times New Roman"/>
        </w:rPr>
      </w:pPr>
      <w:r w:rsidRPr="003470D1">
        <w:rPr>
          <w:rFonts w:ascii="Times New Roman" w:hAnsi="Times New Roman" w:cs="Times New Roman"/>
          <w:b/>
        </w:rPr>
        <w:t>Зона транспортной инфраструктуры</w:t>
      </w:r>
      <w:r w:rsidRPr="003470D1">
        <w:rPr>
          <w:rFonts w:ascii="Times New Roman" w:hAnsi="Times New Roman" w:cs="Times New Roman"/>
        </w:rPr>
        <w:t xml:space="preserve"> предназначена для размещения улично-дорожной сети и дорог, объектов автомобильного транспорта, складов, объектов внешнего транспорта в соответствии с типами объектов, указанными в наименованиях зон. В зоне транспортной инфраструктуры допускается размещение общественно-деловых объектов, связанных с обслуживанием данной зоны. </w:t>
      </w:r>
    </w:p>
    <w:p w:rsidR="00DF5AA6" w:rsidRPr="003470D1" w:rsidRDefault="00DF5AA6" w:rsidP="00DF5AA6">
      <w:pPr>
        <w:ind w:left="-142" w:firstLine="502"/>
        <w:rPr>
          <w:rFonts w:ascii="Times New Roman" w:hAnsi="Times New Roman" w:cs="Times New Roman"/>
        </w:rPr>
      </w:pPr>
    </w:p>
    <w:p w:rsidR="00DF5AA6" w:rsidRPr="003470D1" w:rsidRDefault="00DF5AA6" w:rsidP="00DF5AA6">
      <w:pPr>
        <w:ind w:left="-142" w:firstLine="502"/>
        <w:rPr>
          <w:rFonts w:ascii="Times New Roman" w:hAnsi="Times New Roman" w:cs="Times New Roman"/>
          <w:b/>
        </w:rPr>
      </w:pPr>
      <w:r w:rsidRPr="003470D1">
        <w:rPr>
          <w:rFonts w:ascii="Times New Roman" w:hAnsi="Times New Roman" w:cs="Times New Roman"/>
          <w:b/>
        </w:rPr>
        <w:t>Зон</w:t>
      </w:r>
      <w:r>
        <w:rPr>
          <w:rFonts w:ascii="Times New Roman" w:hAnsi="Times New Roman" w:cs="Times New Roman"/>
          <w:b/>
        </w:rPr>
        <w:t>ы</w:t>
      </w:r>
      <w:r w:rsidRPr="003470D1">
        <w:rPr>
          <w:rFonts w:ascii="Times New Roman" w:hAnsi="Times New Roman" w:cs="Times New Roman"/>
          <w:b/>
        </w:rPr>
        <w:t xml:space="preserve"> сельскохозяйственн</w:t>
      </w:r>
      <w:r>
        <w:rPr>
          <w:rFonts w:ascii="Times New Roman" w:hAnsi="Times New Roman" w:cs="Times New Roman"/>
          <w:b/>
        </w:rPr>
        <w:t>ого</w:t>
      </w:r>
      <w:r w:rsidRPr="003470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использования</w:t>
      </w:r>
      <w:r w:rsidRPr="003470D1">
        <w:rPr>
          <w:rFonts w:ascii="Times New Roman" w:hAnsi="Times New Roman" w:cs="Times New Roman"/>
          <w:b/>
        </w:rPr>
        <w:t xml:space="preserve"> </w:t>
      </w:r>
      <w:r w:rsidRPr="003470D1">
        <w:rPr>
          <w:rFonts w:ascii="Times New Roman" w:hAnsi="Times New Roman" w:cs="Times New Roman"/>
        </w:rPr>
        <w:t>предназначен</w:t>
      </w:r>
      <w:r>
        <w:rPr>
          <w:rFonts w:ascii="Times New Roman" w:hAnsi="Times New Roman" w:cs="Times New Roman"/>
        </w:rPr>
        <w:t>ы</w:t>
      </w:r>
      <w:r w:rsidRPr="003470D1">
        <w:rPr>
          <w:rFonts w:ascii="Times New Roman" w:hAnsi="Times New Roman" w:cs="Times New Roman"/>
        </w:rPr>
        <w:t xml:space="preserve"> для ведения сельского хозяйства, размещения объектов сельскохозяйственного назначения. В составе зоны могут выделяться сельскохозяйственные угодья – пашни, сенокосы, пастбища, земли занятые многолетними насаждениями (садами). </w:t>
      </w:r>
    </w:p>
    <w:p w:rsidR="00DF5AA6" w:rsidRPr="003470D1" w:rsidRDefault="00DF5AA6" w:rsidP="00DF5AA6">
      <w:pPr>
        <w:ind w:left="-142" w:firstLine="0"/>
        <w:rPr>
          <w:rFonts w:ascii="Times New Roman" w:hAnsi="Times New Roman" w:cs="Times New Roman"/>
        </w:rPr>
      </w:pPr>
    </w:p>
    <w:p w:rsidR="00DF5AA6" w:rsidRPr="003470D1" w:rsidRDefault="00DF5AA6" w:rsidP="00DF5AA6">
      <w:pPr>
        <w:ind w:left="-142" w:firstLine="502"/>
        <w:rPr>
          <w:rFonts w:ascii="Times New Roman" w:hAnsi="Times New Roman" w:cs="Times New Roman"/>
        </w:rPr>
      </w:pPr>
      <w:r w:rsidRPr="003470D1">
        <w:rPr>
          <w:rFonts w:ascii="Times New Roman" w:hAnsi="Times New Roman" w:cs="Times New Roman"/>
          <w:b/>
        </w:rPr>
        <w:t>Производственная зона сельскохозяйственных предприятий</w:t>
      </w:r>
      <w:r w:rsidRPr="003470D1">
        <w:rPr>
          <w:rFonts w:ascii="Times New Roman" w:hAnsi="Times New Roman" w:cs="Times New Roman"/>
        </w:rPr>
        <w:t xml:space="preserve"> установлена для ведения сельскохозяйственного производства, обеспечения деятельности фермерских хозяйств, создания защитных лесных насаждений, научно-исследовательских, учебных и иных связанных с сельскохозяйственным производством целей, а также для целей </w:t>
      </w:r>
      <w:proofErr w:type="spellStart"/>
      <w:r w:rsidRPr="003470D1">
        <w:rPr>
          <w:rFonts w:ascii="Times New Roman" w:hAnsi="Times New Roman" w:cs="Times New Roman"/>
        </w:rPr>
        <w:t>аквакультуры</w:t>
      </w:r>
      <w:proofErr w:type="spellEnd"/>
      <w:r w:rsidRPr="003470D1">
        <w:rPr>
          <w:rFonts w:ascii="Times New Roman" w:hAnsi="Times New Roman" w:cs="Times New Roman"/>
        </w:rPr>
        <w:t xml:space="preserve"> (рыбоводства), в том числе, для размещения объектов капитального строительства, необходимых для сельскохозяйственного производства.</w:t>
      </w:r>
    </w:p>
    <w:p w:rsidR="00DF5AA6" w:rsidRPr="003470D1" w:rsidRDefault="00DF5AA6" w:rsidP="00DF5AA6">
      <w:pPr>
        <w:ind w:left="-142" w:firstLine="0"/>
        <w:rPr>
          <w:rFonts w:ascii="Times New Roman" w:hAnsi="Times New Roman" w:cs="Times New Roman"/>
        </w:rPr>
      </w:pPr>
    </w:p>
    <w:p w:rsidR="00DF5AA6" w:rsidRPr="003470D1" w:rsidRDefault="00DF5AA6" w:rsidP="00DF5AA6">
      <w:pPr>
        <w:ind w:left="-142" w:firstLine="502"/>
        <w:rPr>
          <w:rFonts w:ascii="Times New Roman" w:hAnsi="Times New Roman" w:cs="Times New Roman"/>
        </w:rPr>
      </w:pPr>
      <w:r w:rsidRPr="00D1476C">
        <w:rPr>
          <w:rFonts w:ascii="Times New Roman" w:hAnsi="Times New Roman" w:cs="Times New Roman"/>
          <w:b/>
        </w:rPr>
        <w:t>Зона садоводческих или огороднических некоммерческих товарище</w:t>
      </w:r>
      <w:proofErr w:type="gramStart"/>
      <w:r w:rsidRPr="00D1476C">
        <w:rPr>
          <w:rFonts w:ascii="Times New Roman" w:hAnsi="Times New Roman" w:cs="Times New Roman"/>
          <w:b/>
        </w:rPr>
        <w:t>ств</w:t>
      </w:r>
      <w:r>
        <w:rPr>
          <w:rFonts w:ascii="Times New Roman" w:hAnsi="Times New Roman" w:cs="Times New Roman"/>
          <w:b/>
        </w:rPr>
        <w:t xml:space="preserve"> </w:t>
      </w:r>
      <w:r w:rsidRPr="003470D1">
        <w:rPr>
          <w:rFonts w:ascii="Times New Roman" w:hAnsi="Times New Roman" w:cs="Times New Roman"/>
        </w:rPr>
        <w:t>пр</w:t>
      </w:r>
      <w:proofErr w:type="gramEnd"/>
      <w:r w:rsidRPr="003470D1">
        <w:rPr>
          <w:rFonts w:ascii="Times New Roman" w:hAnsi="Times New Roman" w:cs="Times New Roman"/>
        </w:rPr>
        <w:t>едназначена для дачного хозяйства, садоводства, огородничества, для обеспечения правовых условий использования территорий садоводческих товариществ и объединений.</w:t>
      </w:r>
    </w:p>
    <w:p w:rsidR="00DF5AA6" w:rsidRPr="003470D1" w:rsidRDefault="00DF5AA6" w:rsidP="00DF5AA6">
      <w:pPr>
        <w:ind w:left="-142" w:firstLine="0"/>
        <w:rPr>
          <w:rFonts w:ascii="Times New Roman" w:hAnsi="Times New Roman" w:cs="Times New Roman"/>
        </w:rPr>
      </w:pPr>
    </w:p>
    <w:p w:rsidR="00DF5AA6" w:rsidRPr="003470D1" w:rsidRDefault="00DF5AA6" w:rsidP="00DF5AA6">
      <w:pPr>
        <w:ind w:left="-142" w:firstLine="502"/>
        <w:rPr>
          <w:rFonts w:ascii="Times New Roman" w:hAnsi="Times New Roman" w:cs="Times New Roman"/>
        </w:rPr>
      </w:pPr>
      <w:r w:rsidRPr="00D1476C">
        <w:rPr>
          <w:rFonts w:ascii="Times New Roman" w:hAnsi="Times New Roman" w:cs="Times New Roman"/>
          <w:b/>
        </w:rPr>
        <w:t>Зона озелененных территорий общего пользования (парки, сады, скверы, бульвары, городские леса)</w:t>
      </w:r>
      <w:r w:rsidRPr="003470D1">
        <w:rPr>
          <w:rFonts w:ascii="Times New Roman" w:hAnsi="Times New Roman" w:cs="Times New Roman"/>
          <w:b/>
        </w:rPr>
        <w:t xml:space="preserve"> </w:t>
      </w:r>
      <w:r w:rsidRPr="003470D1">
        <w:rPr>
          <w:rFonts w:ascii="Times New Roman" w:hAnsi="Times New Roman" w:cs="Times New Roman"/>
        </w:rPr>
        <w:t>предназначена для природных объектов, зеленых насаждений, выполняющих специальные функции (санитарно-защитного озеленения), размещение объектов инженерной и транспортной инфраструктуры, а также объектов общественно-делового назначения, связанных с обслуживанием данной зоны.</w:t>
      </w:r>
    </w:p>
    <w:p w:rsidR="00DF5AA6" w:rsidRPr="003470D1" w:rsidRDefault="00DF5AA6" w:rsidP="00DF5AA6">
      <w:pPr>
        <w:ind w:left="-142" w:firstLine="0"/>
        <w:rPr>
          <w:rFonts w:ascii="Times New Roman" w:hAnsi="Times New Roman" w:cs="Times New Roman"/>
        </w:rPr>
      </w:pPr>
    </w:p>
    <w:p w:rsidR="00DF5AA6" w:rsidRPr="003470D1" w:rsidRDefault="00DF5AA6" w:rsidP="00DF5AA6">
      <w:pPr>
        <w:ind w:left="-142" w:firstLine="502"/>
        <w:rPr>
          <w:rFonts w:ascii="Times New Roman" w:hAnsi="Times New Roman" w:cs="Times New Roman"/>
        </w:rPr>
      </w:pPr>
      <w:r w:rsidRPr="003470D1">
        <w:rPr>
          <w:rFonts w:ascii="Times New Roman" w:hAnsi="Times New Roman" w:cs="Times New Roman"/>
          <w:b/>
        </w:rPr>
        <w:t>Зона лесов</w:t>
      </w:r>
      <w:r w:rsidRPr="003470D1">
        <w:rPr>
          <w:rFonts w:ascii="Times New Roman" w:hAnsi="Times New Roman" w:cs="Times New Roman"/>
        </w:rPr>
        <w:t xml:space="preserve"> предназначена для лесного фонда, в которой расположены леса, и земли, предназначенные для </w:t>
      </w:r>
      <w:proofErr w:type="spellStart"/>
      <w:r w:rsidRPr="003470D1">
        <w:rPr>
          <w:rFonts w:ascii="Times New Roman" w:hAnsi="Times New Roman" w:cs="Times New Roman"/>
        </w:rPr>
        <w:t>лесовосстановления</w:t>
      </w:r>
      <w:proofErr w:type="spellEnd"/>
      <w:r w:rsidRPr="003470D1">
        <w:rPr>
          <w:rFonts w:ascii="Times New Roman" w:hAnsi="Times New Roman" w:cs="Times New Roman"/>
        </w:rPr>
        <w:t>, а также необходимые для освоения лесов, и земли, неудобные для использования.</w:t>
      </w:r>
    </w:p>
    <w:p w:rsidR="00DF5AA6" w:rsidRPr="003470D1" w:rsidRDefault="00DF5AA6" w:rsidP="00DF5AA6">
      <w:pPr>
        <w:ind w:left="-142" w:firstLine="0"/>
        <w:rPr>
          <w:rFonts w:ascii="Times New Roman" w:hAnsi="Times New Roman" w:cs="Times New Roman"/>
        </w:rPr>
      </w:pPr>
    </w:p>
    <w:p w:rsidR="00DF5AA6" w:rsidRPr="003470D1" w:rsidRDefault="00DF5AA6" w:rsidP="00DF5AA6">
      <w:pPr>
        <w:ind w:left="-142" w:firstLine="502"/>
        <w:rPr>
          <w:rFonts w:ascii="Times New Roman" w:hAnsi="Times New Roman" w:cs="Times New Roman"/>
        </w:rPr>
      </w:pPr>
      <w:r w:rsidRPr="003470D1">
        <w:rPr>
          <w:rFonts w:ascii="Times New Roman" w:hAnsi="Times New Roman" w:cs="Times New Roman"/>
          <w:b/>
        </w:rPr>
        <w:t>Зона озелененных территорий специального назначения</w:t>
      </w:r>
      <w:r w:rsidRPr="003470D1">
        <w:rPr>
          <w:rFonts w:ascii="Times New Roman" w:hAnsi="Times New Roman" w:cs="Times New Roman"/>
        </w:rPr>
        <w:t xml:space="preserve"> предназначена  для  размещения насаждений вдоль улиц, магистралей и на площадях, насаждений коммунально-складских территорий и санитарно-защитных зон, ботанические, зоологические сады и парки, выставки, насаждения ветрозащитного, вод</w:t>
      </w:r>
      <w:proofErr w:type="gramStart"/>
      <w:r w:rsidRPr="003470D1">
        <w:rPr>
          <w:rFonts w:ascii="Times New Roman" w:hAnsi="Times New Roman" w:cs="Times New Roman"/>
        </w:rPr>
        <w:t>о-</w:t>
      </w:r>
      <w:proofErr w:type="gramEnd"/>
      <w:r w:rsidRPr="003470D1">
        <w:rPr>
          <w:rFonts w:ascii="Times New Roman" w:hAnsi="Times New Roman" w:cs="Times New Roman"/>
        </w:rPr>
        <w:t xml:space="preserve"> и </w:t>
      </w:r>
      <w:proofErr w:type="spellStart"/>
      <w:r w:rsidRPr="003470D1">
        <w:rPr>
          <w:rFonts w:ascii="Times New Roman" w:hAnsi="Times New Roman" w:cs="Times New Roman"/>
        </w:rPr>
        <w:t>почвоохранного</w:t>
      </w:r>
      <w:proofErr w:type="spellEnd"/>
      <w:r w:rsidRPr="003470D1">
        <w:rPr>
          <w:rFonts w:ascii="Times New Roman" w:hAnsi="Times New Roman" w:cs="Times New Roman"/>
        </w:rPr>
        <w:t xml:space="preserve"> значения, противопожарные насаждения, насаждения мелиоративного назначения, питомники, цветочно-оранжерейные хозяйства, насаждения кладбищ и крематориев, особо охраняемых природных территорий.</w:t>
      </w:r>
    </w:p>
    <w:p w:rsidR="00DF5AA6" w:rsidRPr="003470D1" w:rsidRDefault="00DF5AA6" w:rsidP="00DF5AA6">
      <w:pPr>
        <w:ind w:left="-142" w:firstLine="502"/>
        <w:rPr>
          <w:rFonts w:ascii="Times New Roman" w:hAnsi="Times New Roman" w:cs="Times New Roman"/>
          <w:b/>
        </w:rPr>
      </w:pPr>
    </w:p>
    <w:p w:rsidR="00DF5AA6" w:rsidRPr="003470D1" w:rsidRDefault="00DF5AA6" w:rsidP="00DF5AA6">
      <w:pPr>
        <w:ind w:left="-142" w:firstLine="502"/>
        <w:rPr>
          <w:rFonts w:ascii="Times New Roman" w:hAnsi="Times New Roman" w:cs="Times New Roman"/>
        </w:rPr>
      </w:pPr>
      <w:r w:rsidRPr="003470D1">
        <w:rPr>
          <w:rFonts w:ascii="Times New Roman" w:hAnsi="Times New Roman" w:cs="Times New Roman"/>
          <w:b/>
        </w:rPr>
        <w:t>Зона кладбищ</w:t>
      </w:r>
      <w:r w:rsidRPr="003470D1">
        <w:rPr>
          <w:rFonts w:ascii="Times New Roman" w:hAnsi="Times New Roman" w:cs="Times New Roman"/>
        </w:rPr>
        <w:t xml:space="preserve"> предназначена для захоронений и устройства могил, размещения зданий и сооружений с целью проведения скорбных и траурных обрядов, культовых зданий и сооружений.</w:t>
      </w:r>
    </w:p>
    <w:p w:rsidR="00DF5AA6" w:rsidRPr="003470D1" w:rsidRDefault="00DF5AA6" w:rsidP="00DF5AA6">
      <w:pPr>
        <w:ind w:left="-142" w:firstLine="0"/>
        <w:rPr>
          <w:rFonts w:ascii="Times New Roman" w:hAnsi="Times New Roman" w:cs="Times New Roman"/>
        </w:rPr>
      </w:pPr>
    </w:p>
    <w:p w:rsidR="00DF5AA6" w:rsidRPr="003470D1" w:rsidRDefault="00DF5AA6" w:rsidP="00DF5AA6">
      <w:pPr>
        <w:ind w:left="-142" w:firstLine="502"/>
        <w:rPr>
          <w:rFonts w:ascii="Times New Roman" w:hAnsi="Times New Roman" w:cs="Times New Roman"/>
        </w:rPr>
      </w:pPr>
      <w:r w:rsidRPr="003470D1">
        <w:rPr>
          <w:rFonts w:ascii="Times New Roman" w:hAnsi="Times New Roman" w:cs="Times New Roman"/>
          <w:b/>
        </w:rPr>
        <w:t>Зона акваторий</w:t>
      </w:r>
      <w:r w:rsidRPr="003470D1">
        <w:rPr>
          <w:rFonts w:ascii="Times New Roman" w:hAnsi="Times New Roman" w:cs="Times New Roman"/>
        </w:rPr>
        <w:t xml:space="preserve"> предназначена для поддержания водных объектов в состоянии, соответствующем экологическим требованиям, для предотвращения загрязнения, засорения и истощения поверхностных вод с учетом </w:t>
      </w:r>
      <w:proofErr w:type="spellStart"/>
      <w:r w:rsidRPr="003470D1">
        <w:rPr>
          <w:rFonts w:ascii="Times New Roman" w:hAnsi="Times New Roman" w:cs="Times New Roman"/>
        </w:rPr>
        <w:t>водоохранной</w:t>
      </w:r>
      <w:proofErr w:type="spellEnd"/>
      <w:r w:rsidRPr="003470D1">
        <w:rPr>
          <w:rFonts w:ascii="Times New Roman" w:hAnsi="Times New Roman" w:cs="Times New Roman"/>
        </w:rPr>
        <w:t xml:space="preserve"> зоны. Все виды использования требуют согласования с органами контроля и специального согласования с бассейновыми и другими территориальными органами управления использования и охраны водного фонда Министерства природных ресурсов РФ.</w:t>
      </w:r>
    </w:p>
    <w:p w:rsidR="00DF5AA6" w:rsidRDefault="00DF5AA6" w:rsidP="00DF5AA6">
      <w:pPr>
        <w:pStyle w:val="ad"/>
      </w:pPr>
    </w:p>
    <w:p w:rsidR="00DF5AA6" w:rsidRDefault="00DF5AA6" w:rsidP="00DF5AA6">
      <w:pPr>
        <w:pStyle w:val="ad"/>
      </w:pPr>
    </w:p>
    <w:p w:rsidR="00DF5AA6" w:rsidRDefault="00DF5AA6" w:rsidP="00DF5AA6">
      <w:pPr>
        <w:pStyle w:val="1"/>
        <w:shd w:val="clear" w:color="auto" w:fill="B8CCE4" w:themeFill="accent1" w:themeFillTint="66"/>
        <w:ind w:firstLine="426"/>
        <w:rPr>
          <w:color w:val="auto"/>
        </w:rPr>
        <w:sectPr w:rsidR="00DF5AA6" w:rsidSect="00BE3643">
          <w:pgSz w:w="11906" w:h="16838"/>
          <w:pgMar w:top="851" w:right="851" w:bottom="851" w:left="1701" w:header="709" w:footer="709" w:gutter="0"/>
          <w:pgNumType w:start="1"/>
          <w:cols w:space="720"/>
          <w:titlePg/>
        </w:sectPr>
      </w:pPr>
    </w:p>
    <w:p w:rsidR="00DF5AA6" w:rsidRPr="003155EB" w:rsidRDefault="00DF5AA6" w:rsidP="00DF5AA6">
      <w:pPr>
        <w:pStyle w:val="1"/>
        <w:shd w:val="clear" w:color="auto" w:fill="B8CCE4" w:themeFill="accent1" w:themeFillTint="66"/>
        <w:ind w:firstLine="426"/>
        <w:rPr>
          <w:rFonts w:ascii="Times New Roman" w:hAnsi="Times New Roman" w:cs="Times New Roman"/>
          <w:color w:val="auto"/>
        </w:rPr>
      </w:pPr>
      <w:r>
        <w:rPr>
          <w:color w:val="auto"/>
        </w:rPr>
        <w:lastRenderedPageBreak/>
        <w:t>3</w:t>
      </w:r>
      <w:r w:rsidRPr="003155EB">
        <w:rPr>
          <w:color w:val="auto"/>
        </w:rPr>
        <w:t xml:space="preserve">. </w:t>
      </w:r>
      <w:r w:rsidRPr="003155EB">
        <w:rPr>
          <w:rFonts w:ascii="Times New Roman" w:hAnsi="Times New Roman" w:cs="Times New Roman"/>
          <w:color w:val="auto"/>
        </w:rPr>
        <w:t>Сведения о планируемых для размещения объект</w:t>
      </w:r>
      <w:r>
        <w:rPr>
          <w:rFonts w:ascii="Times New Roman" w:hAnsi="Times New Roman" w:cs="Times New Roman"/>
          <w:color w:val="auto"/>
        </w:rPr>
        <w:t>ах</w:t>
      </w:r>
      <w:r w:rsidRPr="003155EB">
        <w:rPr>
          <w:rFonts w:ascii="Times New Roman" w:hAnsi="Times New Roman" w:cs="Times New Roman"/>
          <w:color w:val="auto"/>
        </w:rPr>
        <w:t xml:space="preserve"> регионального значения </w:t>
      </w:r>
      <w:r>
        <w:rPr>
          <w:rFonts w:ascii="Times New Roman" w:hAnsi="Times New Roman" w:cs="Times New Roman"/>
          <w:color w:val="auto"/>
        </w:rPr>
        <w:t>поселения</w:t>
      </w:r>
    </w:p>
    <w:p w:rsidR="00DF5AA6" w:rsidRDefault="00DF5AA6" w:rsidP="00DF5AA6">
      <w:pPr>
        <w:pStyle w:val="ad"/>
      </w:pPr>
    </w:p>
    <w:p w:rsidR="00DF5AA6" w:rsidRDefault="00DF5AA6" w:rsidP="00DF5AA6">
      <w:pPr>
        <w:jc w:val="right"/>
      </w:pPr>
      <w:r>
        <w:t>Таблица 2</w:t>
      </w:r>
    </w:p>
    <w:tbl>
      <w:tblPr>
        <w:tblW w:w="14850" w:type="dxa"/>
        <w:jc w:val="center"/>
        <w:tblInd w:w="-2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2"/>
        <w:gridCol w:w="2693"/>
        <w:gridCol w:w="1843"/>
        <w:gridCol w:w="1985"/>
        <w:gridCol w:w="1701"/>
        <w:gridCol w:w="1984"/>
        <w:gridCol w:w="1701"/>
        <w:gridCol w:w="2251"/>
      </w:tblGrid>
      <w:tr w:rsidR="00DF5AA6" w:rsidTr="009C57D6">
        <w:trPr>
          <w:jc w:val="center"/>
        </w:trPr>
        <w:tc>
          <w:tcPr>
            <w:tcW w:w="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E120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E120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Назначение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характеристики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Функциональная зона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зоны с особыми условиями использования территории</w:t>
            </w:r>
          </w:p>
        </w:tc>
      </w:tr>
      <w:tr w:rsidR="00DF5AA6" w:rsidTr="009C57D6">
        <w:trPr>
          <w:trHeight w:val="310"/>
          <w:jc w:val="center"/>
        </w:trPr>
        <w:tc>
          <w:tcPr>
            <w:tcW w:w="1485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DF5AA6">
            <w:pPr>
              <w:widowControl w:val="0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Газоснабжение</w:t>
            </w:r>
          </w:p>
        </w:tc>
      </w:tr>
      <w:tr w:rsidR="00DF5AA6" w:rsidTr="009C57D6">
        <w:trPr>
          <w:jc w:val="center"/>
        </w:trPr>
        <w:tc>
          <w:tcPr>
            <w:tcW w:w="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2693" w:type="dxa"/>
            <w:shd w:val="clear" w:color="auto" w:fill="auto"/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межпоселковый ГРС </w:t>
            </w:r>
            <w:proofErr w:type="spellStart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Чебаково</w:t>
            </w:r>
            <w:proofErr w:type="spellEnd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 xml:space="preserve"> – дер. Большое </w:t>
            </w:r>
            <w:proofErr w:type="spellStart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Домнино</w:t>
            </w:r>
            <w:proofErr w:type="spellEnd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 xml:space="preserve"> – дер. </w:t>
            </w:r>
            <w:proofErr w:type="spellStart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Бузаркино</w:t>
            </w:r>
            <w:proofErr w:type="spellEnd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 xml:space="preserve"> – дер. </w:t>
            </w:r>
            <w:proofErr w:type="spellStart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Дорожаево</w:t>
            </w:r>
            <w:proofErr w:type="spellEnd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. Спасское – пос. Смена Ярославского района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Линейные объекты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E57C7E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C7E">
              <w:rPr>
                <w:rFonts w:ascii="Times New Roman" w:hAnsi="Times New Roman" w:cs="Times New Roman"/>
                <w:sz w:val="20"/>
                <w:szCs w:val="20"/>
              </w:rPr>
              <w:t>обеспечение природным газом потребителей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протяженность 9,1 км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Чебаковское</w:t>
            </w:r>
            <w:proofErr w:type="spellEnd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sz w:val="20"/>
                <w:szCs w:val="20"/>
              </w:rPr>
              <w:t xml:space="preserve">охранная зона трубопроводов (газопроводов, нефтепроводов и нефтепродуктопроводов, </w:t>
            </w:r>
            <w:proofErr w:type="spellStart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аммиакопроводов</w:t>
            </w:r>
            <w:proofErr w:type="spellEnd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F5AA6" w:rsidTr="009C57D6">
        <w:trPr>
          <w:trHeight w:val="307"/>
          <w:jc w:val="center"/>
        </w:trPr>
        <w:tc>
          <w:tcPr>
            <w:tcW w:w="1485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DF5AA6">
            <w:pPr>
              <w:widowControl w:val="0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Водоснабжение</w:t>
            </w:r>
          </w:p>
        </w:tc>
      </w:tr>
      <w:tr w:rsidR="00DF5AA6" w:rsidTr="009C57D6">
        <w:trPr>
          <w:jc w:val="center"/>
        </w:trPr>
        <w:tc>
          <w:tcPr>
            <w:tcW w:w="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2693" w:type="dxa"/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Артезианская скважина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8F5434" w:rsidRDefault="00DF5AA6" w:rsidP="009C57D6">
            <w:pPr>
              <w:ind w:firstLine="42"/>
              <w:jc w:val="center"/>
            </w:pPr>
            <w:r w:rsidRPr="008F5434">
              <w:rPr>
                <w:rFonts w:ascii="Times New Roman" w:hAnsi="Times New Roman" w:cs="Times New Roman"/>
                <w:sz w:val="20"/>
                <w:szCs w:val="20"/>
              </w:rPr>
              <w:t>Объект капитального строительства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8F543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434">
              <w:rPr>
                <w:rFonts w:ascii="Times New Roman" w:hAnsi="Times New Roman" w:cs="Times New Roman"/>
                <w:sz w:val="20"/>
                <w:szCs w:val="20"/>
              </w:rPr>
              <w:t>Обеспечение бесперебойного водоснабжения</w:t>
            </w:r>
          </w:p>
        </w:tc>
        <w:tc>
          <w:tcPr>
            <w:tcW w:w="1701" w:type="dxa"/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1,0 куб. м/</w:t>
            </w:r>
            <w:proofErr w:type="gramStart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Судилов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зона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зона санитарной охраны источника водоснабжения</w:t>
            </w:r>
          </w:p>
        </w:tc>
      </w:tr>
      <w:tr w:rsidR="00DF5AA6" w:rsidTr="009C57D6">
        <w:trPr>
          <w:trHeight w:val="400"/>
          <w:jc w:val="center"/>
        </w:trPr>
        <w:tc>
          <w:tcPr>
            <w:tcW w:w="1485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DF5AA6">
            <w:pPr>
              <w:widowControl w:val="0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</w:tr>
      <w:tr w:rsidR="00DF5AA6" w:rsidTr="009C57D6">
        <w:trPr>
          <w:trHeight w:val="258"/>
          <w:jc w:val="center"/>
        </w:trPr>
        <w:tc>
          <w:tcPr>
            <w:tcW w:w="6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2693" w:type="dxa"/>
            <w:vMerge w:val="restart"/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Очистные сооружения (КОС)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8F543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434">
              <w:rPr>
                <w:rFonts w:ascii="Times New Roman" w:hAnsi="Times New Roman" w:cs="Times New Roman"/>
                <w:sz w:val="20"/>
                <w:szCs w:val="20"/>
              </w:rPr>
              <w:t>Объект капитального строительства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8F543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434">
              <w:rPr>
                <w:rFonts w:ascii="Times New Roman" w:hAnsi="Times New Roman" w:cs="Times New Roman"/>
                <w:sz w:val="20"/>
                <w:szCs w:val="20"/>
              </w:rPr>
              <w:t>Уменьшение загрязнения окружающей среды</w:t>
            </w:r>
          </w:p>
        </w:tc>
        <w:tc>
          <w:tcPr>
            <w:tcW w:w="1701" w:type="dxa"/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 куб. м/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984" w:type="dxa"/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Никульское</w:t>
            </w:r>
            <w:proofErr w:type="spellEnd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зона</w:t>
            </w:r>
          </w:p>
        </w:tc>
        <w:tc>
          <w:tcPr>
            <w:tcW w:w="2251" w:type="dxa"/>
            <w:vMerge w:val="restart"/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санитарно-защитная зона</w:t>
            </w:r>
          </w:p>
        </w:tc>
      </w:tr>
      <w:tr w:rsidR="00DF5AA6" w:rsidTr="009C57D6">
        <w:trPr>
          <w:trHeight w:val="256"/>
          <w:jc w:val="center"/>
        </w:trPr>
        <w:tc>
          <w:tcPr>
            <w:tcW w:w="6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8F543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8F543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куб. м/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984" w:type="dxa"/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Судилово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зона</w:t>
            </w:r>
          </w:p>
        </w:tc>
        <w:tc>
          <w:tcPr>
            <w:tcW w:w="2251" w:type="dxa"/>
            <w:vMerge/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AA6" w:rsidTr="009C57D6">
        <w:trPr>
          <w:trHeight w:val="256"/>
          <w:jc w:val="center"/>
        </w:trPr>
        <w:tc>
          <w:tcPr>
            <w:tcW w:w="6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8F543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8F543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190 куб. м/</w:t>
            </w:r>
            <w:proofErr w:type="spellStart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984" w:type="dxa"/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205"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7E1205">
              <w:rPr>
                <w:rFonts w:ascii="Times New Roman" w:hAnsi="Times New Roman" w:cs="Times New Roman"/>
                <w:sz w:val="20"/>
                <w:szCs w:val="20"/>
              </w:rPr>
              <w:t>Чебаково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434">
              <w:rPr>
                <w:rFonts w:ascii="Times New Roman" w:hAnsi="Times New Roman" w:cs="Times New Roman"/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2251" w:type="dxa"/>
            <w:vMerge/>
          </w:tcPr>
          <w:p w:rsidR="00DF5AA6" w:rsidRPr="007E1205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5AA6" w:rsidRDefault="00DF5AA6" w:rsidP="00DF5AA6">
      <w:pPr>
        <w:ind w:firstLine="0"/>
        <w:jc w:val="center"/>
      </w:pPr>
    </w:p>
    <w:p w:rsidR="00DF5AA6" w:rsidRDefault="00DF5AA6" w:rsidP="00DF5AA6">
      <w:pPr>
        <w:ind w:firstLine="0"/>
        <w:jc w:val="center"/>
      </w:pPr>
    </w:p>
    <w:p w:rsidR="00DF5AA6" w:rsidRDefault="00DF5AA6" w:rsidP="00DF5AA6">
      <w:pPr>
        <w:ind w:firstLine="0"/>
        <w:jc w:val="center"/>
      </w:pPr>
    </w:p>
    <w:p w:rsidR="00DF5AA6" w:rsidRDefault="00DF5AA6" w:rsidP="00DF5AA6">
      <w:pPr>
        <w:ind w:firstLine="0"/>
        <w:jc w:val="center"/>
      </w:pPr>
    </w:p>
    <w:p w:rsidR="00DF5AA6" w:rsidRPr="003155EB" w:rsidRDefault="00DF5AA6" w:rsidP="00DF5AA6">
      <w:pPr>
        <w:pStyle w:val="1"/>
        <w:shd w:val="clear" w:color="auto" w:fill="B8CCE4" w:themeFill="accent1" w:themeFillTint="66"/>
        <w:ind w:firstLine="426"/>
        <w:rPr>
          <w:rFonts w:ascii="Times New Roman" w:hAnsi="Times New Roman" w:cs="Times New Roman"/>
          <w:color w:val="auto"/>
        </w:rPr>
      </w:pPr>
      <w:bookmarkStart w:id="4" w:name="_heading=h.yoi2d8qu0e4e" w:colFirst="0" w:colLast="0"/>
      <w:bookmarkEnd w:id="4"/>
      <w:r>
        <w:rPr>
          <w:rFonts w:ascii="Times New Roman" w:hAnsi="Times New Roman" w:cs="Times New Roman"/>
          <w:color w:val="auto"/>
        </w:rPr>
        <w:t>4</w:t>
      </w:r>
      <w:r w:rsidRPr="003155EB">
        <w:rPr>
          <w:rFonts w:ascii="Times New Roman" w:hAnsi="Times New Roman" w:cs="Times New Roman"/>
          <w:color w:val="auto"/>
        </w:rPr>
        <w:t xml:space="preserve">. Сведения о планируемых для размещения </w:t>
      </w:r>
      <w:r>
        <w:rPr>
          <w:rFonts w:ascii="Times New Roman" w:hAnsi="Times New Roman" w:cs="Times New Roman"/>
          <w:color w:val="auto"/>
        </w:rPr>
        <w:t>объектах федерального значения</w:t>
      </w:r>
    </w:p>
    <w:p w:rsidR="00DF5AA6" w:rsidRDefault="00DF5AA6" w:rsidP="00DF5AA6"/>
    <w:p w:rsidR="00DF5AA6" w:rsidRDefault="00DF5AA6" w:rsidP="00DF5AA6">
      <w:pPr>
        <w:jc w:val="right"/>
      </w:pPr>
      <w:r>
        <w:t>Таблица 3</w:t>
      </w:r>
    </w:p>
    <w:tbl>
      <w:tblPr>
        <w:tblW w:w="14819" w:type="dxa"/>
        <w:jc w:val="center"/>
        <w:tblInd w:w="-4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7"/>
        <w:gridCol w:w="2552"/>
        <w:gridCol w:w="1842"/>
        <w:gridCol w:w="1985"/>
        <w:gridCol w:w="1701"/>
        <w:gridCol w:w="2126"/>
        <w:gridCol w:w="1701"/>
        <w:gridCol w:w="2235"/>
      </w:tblGrid>
      <w:tr w:rsidR="00DF5AA6" w:rsidTr="009C57D6">
        <w:trPr>
          <w:jc w:val="center"/>
        </w:trPr>
        <w:tc>
          <w:tcPr>
            <w:tcW w:w="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Default="00DF5AA6" w:rsidP="009C57D6">
            <w:pPr>
              <w:widowControl w:val="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Default="00DF5AA6" w:rsidP="009C57D6">
            <w:pPr>
              <w:widowControl w:val="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Default="00DF5AA6" w:rsidP="009C57D6">
            <w:pPr>
              <w:widowControl w:val="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Default="00DF5AA6" w:rsidP="009C57D6">
            <w:pPr>
              <w:widowControl w:val="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Назначение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Default="00DF5AA6" w:rsidP="009C57D6">
            <w:pPr>
              <w:widowControl w:val="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характеристики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Default="00DF5AA6" w:rsidP="009C57D6">
            <w:pPr>
              <w:widowControl w:val="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Default="00DF5AA6" w:rsidP="009C57D6">
            <w:pPr>
              <w:widowControl w:val="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Функциональная зона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Default="00DF5AA6" w:rsidP="009C57D6">
            <w:pPr>
              <w:widowControl w:val="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 зоны с особыми условиями использования территории</w:t>
            </w:r>
          </w:p>
        </w:tc>
      </w:tr>
      <w:tr w:rsidR="00DF5AA6" w:rsidTr="009C57D6">
        <w:trPr>
          <w:trHeight w:val="221"/>
          <w:jc w:val="center"/>
        </w:trPr>
        <w:tc>
          <w:tcPr>
            <w:tcW w:w="148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E41DE1" w:rsidRDefault="00DF5AA6" w:rsidP="00DF5AA6">
            <w:pPr>
              <w:widowControl w:val="0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E41DE1">
              <w:rPr>
                <w:sz w:val="20"/>
                <w:szCs w:val="20"/>
              </w:rPr>
              <w:t>Газоснабжение</w:t>
            </w:r>
          </w:p>
        </w:tc>
      </w:tr>
      <w:tr w:rsidR="00DF5AA6" w:rsidTr="009C57D6">
        <w:trPr>
          <w:jc w:val="center"/>
        </w:trPr>
        <w:tc>
          <w:tcPr>
            <w:tcW w:w="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Default="00DF5AA6" w:rsidP="009C57D6">
            <w:pPr>
              <w:widowControl w:val="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F5AA6" w:rsidRDefault="00DF5AA6" w:rsidP="009C57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магистрального газопровода “Горький - Череповец” на участке ГИС Бурмакино - Рыбинск-1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EF699A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Линейные объекты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EF699A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99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природным газом </w:t>
            </w:r>
            <w:proofErr w:type="spellStart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Тенинской</w:t>
            </w:r>
            <w:proofErr w:type="spellEnd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 xml:space="preserve"> котельной публичного акционерного общества "Территориальная генерирующая компания N 2" в городе Ярославле и потребителей Ярославской области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EF699A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проектный объем транспортировки газа - 11 млрд. куб. метров в год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EF699A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Ярославская область, район Гаврилов-</w:t>
            </w:r>
            <w:proofErr w:type="spellStart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Ямский</w:t>
            </w:r>
            <w:proofErr w:type="spellEnd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 xml:space="preserve">, сельское поселение </w:t>
            </w:r>
            <w:proofErr w:type="spellStart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Великосельское</w:t>
            </w:r>
            <w:proofErr w:type="spellEnd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 xml:space="preserve">, сельское поселение Заячье - </w:t>
            </w:r>
            <w:proofErr w:type="spellStart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Холмское</w:t>
            </w:r>
            <w:proofErr w:type="spellEnd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 xml:space="preserve">, сельское поселение </w:t>
            </w:r>
            <w:proofErr w:type="spellStart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Митинское</w:t>
            </w:r>
            <w:proofErr w:type="spellEnd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 xml:space="preserve">, сельское поселение </w:t>
            </w:r>
            <w:proofErr w:type="spellStart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Шопшинское</w:t>
            </w:r>
            <w:proofErr w:type="spellEnd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F699A">
              <w:rPr>
                <w:rFonts w:ascii="Times New Roman" w:hAnsi="Times New Roman" w:cs="Times New Roman"/>
                <w:sz w:val="20"/>
                <w:szCs w:val="20"/>
              </w:rPr>
              <w:br/>
              <w:t>район Некрасовский, сельское поселение Бурмакино;</w:t>
            </w:r>
            <w:r w:rsidRPr="00EF699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район </w:t>
            </w:r>
            <w:proofErr w:type="spellStart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Тутаевский</w:t>
            </w:r>
            <w:proofErr w:type="spellEnd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 xml:space="preserve">, сельское поселение </w:t>
            </w:r>
            <w:proofErr w:type="spellStart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Артемьевское</w:t>
            </w:r>
            <w:proofErr w:type="spellEnd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 xml:space="preserve">, сельское поселение </w:t>
            </w:r>
            <w:proofErr w:type="spellStart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Константиновское</w:t>
            </w:r>
            <w:proofErr w:type="spellEnd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 xml:space="preserve">, сельское поселение </w:t>
            </w:r>
            <w:proofErr w:type="spellStart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Чебаковское</w:t>
            </w:r>
            <w:proofErr w:type="spellEnd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F699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район Рыбинский, сельское поселение Октябрьское, сельское поселение </w:t>
            </w:r>
            <w:r w:rsidRPr="00EF69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Волжское;</w:t>
            </w:r>
            <w:r w:rsidRPr="00EF699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район Ярославский, сельское поселение Некрасовское, сельское поселение </w:t>
            </w:r>
            <w:proofErr w:type="spellStart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Ивняковское</w:t>
            </w:r>
            <w:proofErr w:type="spellEnd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 xml:space="preserve">, сельское поселение </w:t>
            </w:r>
            <w:proofErr w:type="spellStart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Карабихское</w:t>
            </w:r>
            <w:proofErr w:type="spellEnd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 xml:space="preserve">, сельское поселение </w:t>
            </w:r>
            <w:proofErr w:type="spellStart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Туношенское</w:t>
            </w:r>
            <w:proofErr w:type="spellEnd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 xml:space="preserve">, сельское поселение </w:t>
            </w:r>
            <w:proofErr w:type="spellStart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Курбское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EF699A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9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устанавливается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EF699A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99A">
              <w:rPr>
                <w:rFonts w:ascii="Times New Roman" w:hAnsi="Times New Roman" w:cs="Times New Roman"/>
                <w:sz w:val="20"/>
                <w:szCs w:val="20"/>
              </w:rPr>
              <w:t xml:space="preserve">охранная зона трубопроводов (газопроводов, нефтепроводов и нефтепродуктопроводов, </w:t>
            </w:r>
            <w:proofErr w:type="spellStart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аммиакопроводов</w:t>
            </w:r>
            <w:proofErr w:type="spellEnd"/>
            <w:r w:rsidRPr="00EF69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F5AA6" w:rsidTr="009C57D6">
        <w:trPr>
          <w:jc w:val="center"/>
        </w:trPr>
        <w:tc>
          <w:tcPr>
            <w:tcW w:w="1481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E41DE1" w:rsidRDefault="00DF5AA6" w:rsidP="00DF5AA6">
            <w:pPr>
              <w:pStyle w:val="ad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E41DE1">
              <w:rPr>
                <w:rFonts w:ascii="Times New Roman" w:hAnsi="Times New Roman"/>
                <w:sz w:val="20"/>
                <w:szCs w:val="20"/>
              </w:rPr>
              <w:lastRenderedPageBreak/>
              <w:t>Железнодорожный транспорт</w:t>
            </w:r>
          </w:p>
        </w:tc>
      </w:tr>
      <w:tr w:rsidR="00DF5AA6" w:rsidTr="009C57D6">
        <w:trPr>
          <w:jc w:val="center"/>
        </w:trPr>
        <w:tc>
          <w:tcPr>
            <w:tcW w:w="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E41DE1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DE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52" w:type="dxa"/>
            <w:shd w:val="clear" w:color="auto" w:fill="auto"/>
          </w:tcPr>
          <w:p w:rsidR="00DF5AA6" w:rsidRPr="0034217B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1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Обход Ярославского железнодорожного узла, строительство новой однопутной электрифицированной линии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34217B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Линейные объекты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34217B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развитие инфраструктуры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34217B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Протяженностью 27 км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34217B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21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Большесельский</w:t>
            </w:r>
            <w:proofErr w:type="spellEnd"/>
            <w:r w:rsidRPr="003421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3421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Start"/>
            <w:r w:rsidRPr="003421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.Я</w:t>
            </w:r>
            <w:proofErr w:type="gramEnd"/>
            <w:r w:rsidRPr="003421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рославль</w:t>
            </w:r>
            <w:proofErr w:type="spellEnd"/>
            <w:r w:rsidRPr="003421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Ярославский,</w:t>
            </w:r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34217B">
              <w:rPr>
                <w:rStyle w:val="searchresult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Тутаевский</w:t>
            </w:r>
            <w:proofErr w:type="spellEnd"/>
            <w:r w:rsidRPr="003421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районы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34217B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34217B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Охранная зона железных дорог и железнодорожных путей</w:t>
            </w:r>
          </w:p>
        </w:tc>
      </w:tr>
      <w:tr w:rsidR="00DF5AA6" w:rsidTr="009C57D6">
        <w:trPr>
          <w:jc w:val="center"/>
        </w:trPr>
        <w:tc>
          <w:tcPr>
            <w:tcW w:w="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E41DE1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DE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552" w:type="dxa"/>
            <w:shd w:val="clear" w:color="auto" w:fill="auto"/>
          </w:tcPr>
          <w:p w:rsidR="00DF5AA6" w:rsidRPr="0034217B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Строительство дополнительных главных путей на участках Мга - Сонково - Ярославль, вторые железнодорожные пути общего пользования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34217B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Линейные объекты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34217B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развитие существующей инфраструктуры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34217B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Протяженностью 649 км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34217B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17B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Кировский район, </w:t>
            </w:r>
            <w:proofErr w:type="spellStart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ириши</w:t>
            </w:r>
            <w:proofErr w:type="spellEnd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Киришский</w:t>
            </w:r>
            <w:proofErr w:type="spellEnd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 xml:space="preserve"> район, Новгородская область, </w:t>
            </w:r>
            <w:proofErr w:type="spellStart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Любытинский</w:t>
            </w:r>
            <w:proofErr w:type="spellEnd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Хвойнинский</w:t>
            </w:r>
            <w:proofErr w:type="spellEnd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Пестовский</w:t>
            </w:r>
            <w:proofErr w:type="spellEnd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 xml:space="preserve"> районы, Тверская область, </w:t>
            </w:r>
            <w:proofErr w:type="spellStart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Сандовский</w:t>
            </w:r>
            <w:proofErr w:type="spellEnd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 xml:space="preserve">, Весьегонский, </w:t>
            </w:r>
            <w:proofErr w:type="spellStart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Молоковский</w:t>
            </w:r>
            <w:proofErr w:type="spellEnd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 xml:space="preserve">, Краснохолмский, </w:t>
            </w:r>
            <w:proofErr w:type="spellStart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Сонковский</w:t>
            </w:r>
            <w:proofErr w:type="spellEnd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 xml:space="preserve"> районы, </w:t>
            </w:r>
            <w:r w:rsidRPr="00342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Ярославская область, </w:t>
            </w:r>
            <w:proofErr w:type="spellStart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Некоузский</w:t>
            </w:r>
            <w:proofErr w:type="spellEnd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Мышкинский</w:t>
            </w:r>
            <w:proofErr w:type="spellEnd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 xml:space="preserve">, Рыбинский районы, </w:t>
            </w:r>
            <w:proofErr w:type="spellStart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г.Рыбинск</w:t>
            </w:r>
            <w:proofErr w:type="spellEnd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Большесельский</w:t>
            </w:r>
            <w:proofErr w:type="spellEnd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proofErr w:type="spellStart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Тутаевский</w:t>
            </w:r>
            <w:proofErr w:type="spellEnd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 xml:space="preserve">, Ярославский районы, </w:t>
            </w:r>
            <w:proofErr w:type="spellStart"/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г.Ярославль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34217B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1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устанавливается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34217B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Охранная зона железных дорог и железнодорожных путей</w:t>
            </w:r>
          </w:p>
        </w:tc>
      </w:tr>
    </w:tbl>
    <w:p w:rsidR="00DF5AA6" w:rsidRDefault="00DF5AA6" w:rsidP="00DF5AA6">
      <w:pPr>
        <w:ind w:firstLine="0"/>
        <w:jc w:val="center"/>
      </w:pPr>
    </w:p>
    <w:p w:rsidR="00DF5AA6" w:rsidRDefault="00DF5AA6" w:rsidP="00DF5AA6">
      <w:pPr>
        <w:ind w:firstLine="0"/>
        <w:jc w:val="center"/>
      </w:pPr>
    </w:p>
    <w:p w:rsidR="00DF5AA6" w:rsidRPr="003155EB" w:rsidRDefault="00DF5AA6" w:rsidP="00DF5AA6">
      <w:pPr>
        <w:pStyle w:val="1"/>
        <w:shd w:val="clear" w:color="auto" w:fill="B8CCE4" w:themeFill="accent1" w:themeFillTint="66"/>
        <w:ind w:firstLine="426"/>
        <w:rPr>
          <w:rFonts w:ascii="Times New Roman" w:hAnsi="Times New Roman" w:cs="Times New Roman"/>
          <w:color w:val="auto"/>
        </w:rPr>
      </w:pPr>
      <w:bookmarkStart w:id="5" w:name="_heading=h.e0lp0xv5a7k1" w:colFirst="0" w:colLast="0"/>
      <w:bookmarkEnd w:id="5"/>
      <w:r>
        <w:rPr>
          <w:rFonts w:ascii="Times New Roman" w:hAnsi="Times New Roman" w:cs="Times New Roman"/>
          <w:color w:val="auto"/>
        </w:rPr>
        <w:t>5</w:t>
      </w:r>
      <w:r w:rsidRPr="003155EB">
        <w:rPr>
          <w:rFonts w:ascii="Times New Roman" w:hAnsi="Times New Roman" w:cs="Times New Roman"/>
          <w:color w:val="auto"/>
        </w:rPr>
        <w:t xml:space="preserve">. Сведения о планируемых для размещения </w:t>
      </w:r>
      <w:r>
        <w:rPr>
          <w:rFonts w:ascii="Times New Roman" w:hAnsi="Times New Roman" w:cs="Times New Roman"/>
          <w:color w:val="auto"/>
        </w:rPr>
        <w:t>объектах местного значения муниципального района</w:t>
      </w:r>
    </w:p>
    <w:p w:rsidR="00DF5AA6" w:rsidRPr="00C0003D" w:rsidRDefault="00DF5AA6" w:rsidP="00DF5AA6">
      <w:pPr>
        <w:rPr>
          <w:rFonts w:ascii="Times New Roman" w:hAnsi="Times New Roman" w:cs="Times New Roman"/>
        </w:rPr>
      </w:pPr>
    </w:p>
    <w:p w:rsidR="00DF5AA6" w:rsidRPr="00C0003D" w:rsidRDefault="00DF5AA6" w:rsidP="00DF5AA6">
      <w:pPr>
        <w:ind w:firstLine="0"/>
        <w:jc w:val="right"/>
        <w:rPr>
          <w:rFonts w:ascii="Times New Roman" w:hAnsi="Times New Roman" w:cs="Times New Roman"/>
        </w:rPr>
      </w:pPr>
      <w:r w:rsidRPr="00C0003D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4</w:t>
      </w:r>
    </w:p>
    <w:tbl>
      <w:tblPr>
        <w:tblW w:w="14807" w:type="dxa"/>
        <w:jc w:val="center"/>
        <w:tblInd w:w="-4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1"/>
        <w:gridCol w:w="2693"/>
        <w:gridCol w:w="1843"/>
        <w:gridCol w:w="1985"/>
        <w:gridCol w:w="1701"/>
        <w:gridCol w:w="1984"/>
        <w:gridCol w:w="1701"/>
        <w:gridCol w:w="2229"/>
      </w:tblGrid>
      <w:tr w:rsidR="00DF5AA6" w:rsidRPr="00C0003D" w:rsidTr="009C57D6">
        <w:trPr>
          <w:jc w:val="center"/>
        </w:trPr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941B2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41B2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41B2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941B2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B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941B2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B24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941B2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B24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Назначение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941B2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B24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характеристики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941B2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B24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941B2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B24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Функциональная зона</w:t>
            </w:r>
          </w:p>
        </w:tc>
        <w:tc>
          <w:tcPr>
            <w:tcW w:w="2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941B2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B24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зоны с особыми условиями использования территории</w:t>
            </w:r>
          </w:p>
        </w:tc>
      </w:tr>
      <w:tr w:rsidR="00DF5AA6" w:rsidRPr="00C0003D" w:rsidTr="009C57D6">
        <w:trPr>
          <w:trHeight w:val="162"/>
          <w:jc w:val="center"/>
        </w:trPr>
        <w:tc>
          <w:tcPr>
            <w:tcW w:w="14807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941B24" w:rsidRDefault="00DF5AA6" w:rsidP="009C57D6">
            <w:pPr>
              <w:pStyle w:val="ad"/>
              <w:ind w:left="57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AA6" w:rsidRPr="00C0003D" w:rsidTr="009C57D6">
        <w:trPr>
          <w:trHeight w:val="162"/>
          <w:jc w:val="center"/>
        </w:trPr>
        <w:tc>
          <w:tcPr>
            <w:tcW w:w="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941B2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F5AA6" w:rsidRPr="00941B24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941B2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941B24" w:rsidRDefault="00DF5AA6" w:rsidP="009C57D6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5AA6" w:rsidRPr="00941B24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F5AA6" w:rsidRPr="00941B24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5AA6" w:rsidRPr="00941B24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DF5AA6" w:rsidRPr="00941B24" w:rsidRDefault="00DF5AA6" w:rsidP="009C57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5AA6" w:rsidRDefault="00DF5AA6" w:rsidP="00DF5AA6">
      <w:pPr>
        <w:ind w:left="720" w:firstLine="0"/>
        <w:jc w:val="left"/>
        <w:rPr>
          <w:b/>
          <w:sz w:val="28"/>
          <w:szCs w:val="28"/>
        </w:rPr>
      </w:pPr>
    </w:p>
    <w:p w:rsidR="00DF5AA6" w:rsidRPr="00BE3643" w:rsidRDefault="00DF5AA6" w:rsidP="00BE36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E1552" w:rsidRPr="00BE3643" w:rsidRDefault="003E1552">
      <w:pPr>
        <w:rPr>
          <w:rFonts w:ascii="Times New Roman" w:hAnsi="Times New Roman" w:cs="Times New Roman"/>
          <w:sz w:val="28"/>
          <w:szCs w:val="28"/>
        </w:rPr>
      </w:pPr>
    </w:p>
    <w:p w:rsidR="003E1552" w:rsidRPr="00C0003D" w:rsidRDefault="003E1552">
      <w:pPr>
        <w:rPr>
          <w:rFonts w:ascii="Times New Roman" w:hAnsi="Times New Roman" w:cs="Times New Roman"/>
        </w:rPr>
      </w:pPr>
    </w:p>
    <w:sectPr w:rsidR="003E1552" w:rsidRPr="00C0003D" w:rsidSect="00DF5AA6">
      <w:pgSz w:w="16838" w:h="11906" w:orient="landscape"/>
      <w:pgMar w:top="1701" w:right="851" w:bottom="851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FB" w:rsidRDefault="007D58FB">
      <w:r>
        <w:separator/>
      </w:r>
    </w:p>
  </w:endnote>
  <w:endnote w:type="continuationSeparator" w:id="0">
    <w:p w:rsidR="007D58FB" w:rsidRDefault="007D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AA6" w:rsidRDefault="00DF5AA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:rsidR="00DF5AA6" w:rsidRDefault="00DF5AA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FB" w:rsidRDefault="007D58FB">
      <w:r>
        <w:separator/>
      </w:r>
    </w:p>
  </w:footnote>
  <w:footnote w:type="continuationSeparator" w:id="0">
    <w:p w:rsidR="007D58FB" w:rsidRDefault="007D5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5EE9"/>
    <w:multiLevelType w:val="multilevel"/>
    <w:tmpl w:val="A63E4C6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241B465E"/>
    <w:multiLevelType w:val="hybridMultilevel"/>
    <w:tmpl w:val="7412642A"/>
    <w:lvl w:ilvl="0" w:tplc="1F8E03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A60E23"/>
    <w:multiLevelType w:val="multilevel"/>
    <w:tmpl w:val="1EB2F1C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2A083EA9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>
    <w:nsid w:val="3F8E697C"/>
    <w:multiLevelType w:val="hybridMultilevel"/>
    <w:tmpl w:val="C2B6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772B7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>
    <w:nsid w:val="41D24C9D"/>
    <w:multiLevelType w:val="multilevel"/>
    <w:tmpl w:val="E556A9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650953E4"/>
    <w:multiLevelType w:val="hybridMultilevel"/>
    <w:tmpl w:val="9B905922"/>
    <w:lvl w:ilvl="0" w:tplc="C544752E">
      <w:start w:val="1"/>
      <w:numFmt w:val="decimal"/>
      <w:lvlText w:val="%1."/>
      <w:lvlJc w:val="left"/>
      <w:pPr>
        <w:ind w:left="1416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8">
    <w:nsid w:val="6BC24AE9"/>
    <w:multiLevelType w:val="multilevel"/>
    <w:tmpl w:val="3DAC7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2DA584A"/>
    <w:multiLevelType w:val="multilevel"/>
    <w:tmpl w:val="B1F0F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1552"/>
    <w:rsid w:val="00013B00"/>
    <w:rsid w:val="0003480E"/>
    <w:rsid w:val="00034B54"/>
    <w:rsid w:val="000371A3"/>
    <w:rsid w:val="0004649A"/>
    <w:rsid w:val="000534B8"/>
    <w:rsid w:val="00060BDE"/>
    <w:rsid w:val="000813B9"/>
    <w:rsid w:val="00094C7C"/>
    <w:rsid w:val="00096442"/>
    <w:rsid w:val="000B6C43"/>
    <w:rsid w:val="000F26DC"/>
    <w:rsid w:val="001134CD"/>
    <w:rsid w:val="00114C44"/>
    <w:rsid w:val="00127D9D"/>
    <w:rsid w:val="001612A7"/>
    <w:rsid w:val="001761B5"/>
    <w:rsid w:val="00176DC5"/>
    <w:rsid w:val="00194325"/>
    <w:rsid w:val="001B6799"/>
    <w:rsid w:val="001D3799"/>
    <w:rsid w:val="001D396B"/>
    <w:rsid w:val="00207DF7"/>
    <w:rsid w:val="00210279"/>
    <w:rsid w:val="0021632E"/>
    <w:rsid w:val="002446BE"/>
    <w:rsid w:val="00251307"/>
    <w:rsid w:val="002574F9"/>
    <w:rsid w:val="002739C9"/>
    <w:rsid w:val="00292CDD"/>
    <w:rsid w:val="00294DD0"/>
    <w:rsid w:val="002A0BD7"/>
    <w:rsid w:val="002C4F43"/>
    <w:rsid w:val="002E2364"/>
    <w:rsid w:val="002F309A"/>
    <w:rsid w:val="002F5FD2"/>
    <w:rsid w:val="003005D8"/>
    <w:rsid w:val="003155EB"/>
    <w:rsid w:val="003470D1"/>
    <w:rsid w:val="00363AAA"/>
    <w:rsid w:val="00381B06"/>
    <w:rsid w:val="00386215"/>
    <w:rsid w:val="003B7D6E"/>
    <w:rsid w:val="003C08F4"/>
    <w:rsid w:val="003D03E3"/>
    <w:rsid w:val="003E1552"/>
    <w:rsid w:val="003E593B"/>
    <w:rsid w:val="00405A1A"/>
    <w:rsid w:val="00416C10"/>
    <w:rsid w:val="004469FF"/>
    <w:rsid w:val="0047037F"/>
    <w:rsid w:val="00473770"/>
    <w:rsid w:val="004928DF"/>
    <w:rsid w:val="004E2D9A"/>
    <w:rsid w:val="004E559F"/>
    <w:rsid w:val="004E762B"/>
    <w:rsid w:val="00537D0F"/>
    <w:rsid w:val="005432C7"/>
    <w:rsid w:val="00554732"/>
    <w:rsid w:val="00555315"/>
    <w:rsid w:val="00562344"/>
    <w:rsid w:val="005633DE"/>
    <w:rsid w:val="005667DB"/>
    <w:rsid w:val="005808B9"/>
    <w:rsid w:val="00583635"/>
    <w:rsid w:val="00587572"/>
    <w:rsid w:val="005B7CDC"/>
    <w:rsid w:val="005D1CA8"/>
    <w:rsid w:val="005E4C94"/>
    <w:rsid w:val="00621FC8"/>
    <w:rsid w:val="006246E5"/>
    <w:rsid w:val="00656E6C"/>
    <w:rsid w:val="0065774F"/>
    <w:rsid w:val="0065780A"/>
    <w:rsid w:val="006719E7"/>
    <w:rsid w:val="006812EE"/>
    <w:rsid w:val="006B07B7"/>
    <w:rsid w:val="006B21A4"/>
    <w:rsid w:val="00703BC2"/>
    <w:rsid w:val="00704E88"/>
    <w:rsid w:val="0070500D"/>
    <w:rsid w:val="00710F75"/>
    <w:rsid w:val="00736CE2"/>
    <w:rsid w:val="0074659E"/>
    <w:rsid w:val="00764B7A"/>
    <w:rsid w:val="007A03FF"/>
    <w:rsid w:val="007A4F76"/>
    <w:rsid w:val="007B012F"/>
    <w:rsid w:val="007B7E59"/>
    <w:rsid w:val="007D58FB"/>
    <w:rsid w:val="007F343C"/>
    <w:rsid w:val="00815C69"/>
    <w:rsid w:val="0082113A"/>
    <w:rsid w:val="008377EE"/>
    <w:rsid w:val="00870294"/>
    <w:rsid w:val="00885D18"/>
    <w:rsid w:val="0089004D"/>
    <w:rsid w:val="008C1492"/>
    <w:rsid w:val="008C2204"/>
    <w:rsid w:val="008D35A0"/>
    <w:rsid w:val="008F5434"/>
    <w:rsid w:val="00915853"/>
    <w:rsid w:val="0092658B"/>
    <w:rsid w:val="00933259"/>
    <w:rsid w:val="00953FAF"/>
    <w:rsid w:val="00975761"/>
    <w:rsid w:val="00997B79"/>
    <w:rsid w:val="009D5FE5"/>
    <w:rsid w:val="009D7231"/>
    <w:rsid w:val="00A103A4"/>
    <w:rsid w:val="00A249E5"/>
    <w:rsid w:val="00A3738B"/>
    <w:rsid w:val="00A40945"/>
    <w:rsid w:val="00A51F7B"/>
    <w:rsid w:val="00A70E33"/>
    <w:rsid w:val="00A71659"/>
    <w:rsid w:val="00AC508F"/>
    <w:rsid w:val="00AD2821"/>
    <w:rsid w:val="00AE2D90"/>
    <w:rsid w:val="00AE2E19"/>
    <w:rsid w:val="00B12413"/>
    <w:rsid w:val="00B350EB"/>
    <w:rsid w:val="00B4303E"/>
    <w:rsid w:val="00B62986"/>
    <w:rsid w:val="00B96DDA"/>
    <w:rsid w:val="00BA4645"/>
    <w:rsid w:val="00BA5B70"/>
    <w:rsid w:val="00BA7E7C"/>
    <w:rsid w:val="00BC6E12"/>
    <w:rsid w:val="00BD560C"/>
    <w:rsid w:val="00BE3643"/>
    <w:rsid w:val="00BE582E"/>
    <w:rsid w:val="00BF3B8F"/>
    <w:rsid w:val="00C0003D"/>
    <w:rsid w:val="00C03B29"/>
    <w:rsid w:val="00C139A7"/>
    <w:rsid w:val="00C2487F"/>
    <w:rsid w:val="00C34620"/>
    <w:rsid w:val="00C76266"/>
    <w:rsid w:val="00C96835"/>
    <w:rsid w:val="00CF4C52"/>
    <w:rsid w:val="00D453B1"/>
    <w:rsid w:val="00DA5A3E"/>
    <w:rsid w:val="00DD6396"/>
    <w:rsid w:val="00DE6E27"/>
    <w:rsid w:val="00DF5AA6"/>
    <w:rsid w:val="00E115F1"/>
    <w:rsid w:val="00E11B7A"/>
    <w:rsid w:val="00E40D56"/>
    <w:rsid w:val="00E46115"/>
    <w:rsid w:val="00E6062D"/>
    <w:rsid w:val="00E73CDF"/>
    <w:rsid w:val="00E74972"/>
    <w:rsid w:val="00E8514E"/>
    <w:rsid w:val="00E9762D"/>
    <w:rsid w:val="00EA24F3"/>
    <w:rsid w:val="00EC6B96"/>
    <w:rsid w:val="00EE2BDC"/>
    <w:rsid w:val="00EE52A4"/>
    <w:rsid w:val="00EE5F81"/>
    <w:rsid w:val="00EF5A10"/>
    <w:rsid w:val="00EF699A"/>
    <w:rsid w:val="00F059BE"/>
    <w:rsid w:val="00F23B18"/>
    <w:rsid w:val="00F35957"/>
    <w:rsid w:val="00F7133F"/>
    <w:rsid w:val="00F90AD8"/>
    <w:rsid w:val="00FB1858"/>
    <w:rsid w:val="00FB5137"/>
    <w:rsid w:val="00FD4539"/>
    <w:rsid w:val="00F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uiPriority w:val="9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34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34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uiPriority w:val="9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34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34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ijCnUdF1miCQgXsaRovWnoCcIw==">AMUW2mXeWv9VFtOxBVajHbPtNlDuMKQmGXD0j7t61EYTglGWIN6zfAHec2Jf0Wr7++nVQmevMXElYKG6Vc5qlhQ/M8Ri4gYNiAhA7EVu0Wh1M0lIbxHsQh4nSJOe3iTjTYdMU0jhIlXCSri3Hxn7wB9Ix2UvMHcmkYzTQ5g4mYAJ4eyKKYMPWlA=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11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prokofieva</cp:lastModifiedBy>
  <cp:revision>117</cp:revision>
  <cp:lastPrinted>2024-02-28T15:47:00Z</cp:lastPrinted>
  <dcterms:created xsi:type="dcterms:W3CDTF">2022-10-13T10:14:00Z</dcterms:created>
  <dcterms:modified xsi:type="dcterms:W3CDTF">2024-02-28T15:47:00Z</dcterms:modified>
</cp:coreProperties>
</file>