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876"/>
      </w:tblGrid>
      <w:tr w14:paraId="026D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31" w:hRule="exact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220A1B">
            <w:pPr>
              <w:pStyle w:val="11"/>
            </w:pPr>
          </w:p>
        </w:tc>
      </w:tr>
      <w:tr w14:paraId="663F1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35" w:hRule="exact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C4FB9">
            <w:pPr>
              <w:pStyle w:val="11"/>
              <w:jc w:val="center"/>
            </w:pPr>
            <w:r>
              <w:rPr>
                <w:sz w:val="48"/>
              </w:rPr>
              <w:t>Федеральный закон от 23.05.2025 N 107-ФЗ</w:t>
            </w:r>
            <w:r>
              <w:rPr>
                <w:sz w:val="48"/>
              </w:rPr>
              <w:br w:type="textWrapping"/>
            </w:r>
            <w:r>
              <w:rPr>
                <w:sz w:val="48"/>
              </w:rPr>
              <w:t>"Об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Федерации"</w:t>
            </w:r>
          </w:p>
        </w:tc>
      </w:tr>
      <w:tr w14:paraId="74E92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31" w:hRule="exact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B44761">
            <w:pPr>
              <w:pStyle w:val="11"/>
              <w:jc w:val="center"/>
            </w:pPr>
          </w:p>
        </w:tc>
      </w:tr>
    </w:tbl>
    <w:p w14:paraId="59068346">
      <w:pPr>
        <w:sectPr>
          <w:pgSz w:w="11906" w:h="16838"/>
          <w:pgMar w:top="841" w:right="595" w:bottom="841" w:left="595" w:header="0" w:footer="0" w:gutter="0"/>
          <w:cols w:space="720" w:num="1"/>
          <w:titlePg/>
        </w:sectPr>
      </w:pPr>
    </w:p>
    <w:p w14:paraId="62E5BE1E">
      <w:pPr>
        <w:pStyle w:val="6"/>
        <w:jc w:val="both"/>
        <w:outlineLvl w:val="0"/>
      </w:pPr>
    </w:p>
    <w:tbl>
      <w:tblPr>
        <w:tblStyle w:val="3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4"/>
      </w:tblGrid>
      <w:tr w14:paraId="79F529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BAE1634">
            <w:pPr>
              <w:pStyle w:val="6"/>
              <w:outlineLvl w:val="0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A153DF4">
            <w:pPr>
              <w:pStyle w:val="6"/>
              <w:jc w:val="right"/>
              <w:outlineLvl w:val="0"/>
            </w:pPr>
          </w:p>
        </w:tc>
      </w:tr>
    </w:tbl>
    <w:p w14:paraId="19F81686">
      <w:pPr>
        <w:pStyle w:val="6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 w14:paraId="441A6AD8">
      <w:pPr>
        <w:pStyle w:val="6"/>
        <w:jc w:val="both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410"/>
        <w:gridCol w:w="5532"/>
        <w:gridCol w:w="1100"/>
      </w:tblGrid>
      <w:tr w14:paraId="3AD6D0E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134" w:type="dxa"/>
          </w:tcPr>
          <w:p w14:paraId="082D0621">
            <w:pPr>
              <w:pStyle w:val="6"/>
              <w:jc w:val="center"/>
            </w:pPr>
            <w:r>
              <w:rPr>
                <w:sz w:val="24"/>
              </w:rPr>
              <w:t>193</w:t>
            </w:r>
          </w:p>
        </w:tc>
        <w:tc>
          <w:tcPr>
            <w:tcW w:w="2410" w:type="dxa"/>
          </w:tcPr>
          <w:p w14:paraId="6EC1B169">
            <w:pPr>
              <w:pStyle w:val="6"/>
            </w:pPr>
            <w:r>
              <w:rPr>
                <w:sz w:val="24"/>
              </w:rPr>
              <w:t>Ярославская область - Ярославский одномандатный избирательный округ</w:t>
            </w:r>
          </w:p>
        </w:tc>
        <w:tc>
          <w:tcPr>
            <w:tcW w:w="5532" w:type="dxa"/>
          </w:tcPr>
          <w:p w14:paraId="1BBE9CCE">
            <w:pPr>
              <w:pStyle w:val="6"/>
            </w:pPr>
            <w:r>
              <w:rPr>
                <w:sz w:val="24"/>
              </w:rPr>
              <w:t>городской округ город Ярославль:</w:t>
            </w:r>
          </w:p>
          <w:p w14:paraId="4DB7F7B1">
            <w:pPr>
              <w:pStyle w:val="6"/>
              <w:ind w:left="283"/>
            </w:pPr>
            <w:r>
              <w:rPr>
                <w:sz w:val="24"/>
              </w:rPr>
              <w:t>Дзержинский район</w:t>
            </w:r>
          </w:p>
          <w:p w14:paraId="4241D76E">
            <w:pPr>
              <w:pStyle w:val="6"/>
              <w:ind w:left="283"/>
            </w:pPr>
            <w:r>
              <w:rPr>
                <w:sz w:val="24"/>
              </w:rPr>
              <w:t>Заволжский район</w:t>
            </w:r>
          </w:p>
          <w:p w14:paraId="61A7CB10">
            <w:pPr>
              <w:pStyle w:val="6"/>
              <w:ind w:left="283"/>
            </w:pPr>
            <w:r>
              <w:rPr>
                <w:sz w:val="24"/>
              </w:rPr>
              <w:t>Ленинский район</w:t>
            </w:r>
          </w:p>
          <w:p w14:paraId="340FD58C">
            <w:pPr>
              <w:pStyle w:val="6"/>
              <w:ind w:left="283"/>
            </w:pPr>
            <w:r>
              <w:rPr>
                <w:sz w:val="24"/>
              </w:rPr>
              <w:t>Фрунзенский район</w:t>
            </w:r>
          </w:p>
          <w:p w14:paraId="140E81E8">
            <w:pPr>
              <w:pStyle w:val="6"/>
            </w:pPr>
            <w:r>
              <w:rPr>
                <w:sz w:val="24"/>
              </w:rPr>
              <w:t>Даниловский муниципальный округ</w:t>
            </w:r>
          </w:p>
          <w:p w14:paraId="03464D07">
            <w:pPr>
              <w:pStyle w:val="6"/>
            </w:pPr>
            <w:r>
              <w:rPr>
                <w:sz w:val="24"/>
              </w:rPr>
              <w:t>Любимский муниципальный округ</w:t>
            </w:r>
          </w:p>
          <w:p w14:paraId="300B0918">
            <w:pPr>
              <w:pStyle w:val="6"/>
            </w:pPr>
            <w:r>
              <w:rPr>
                <w:sz w:val="24"/>
              </w:rPr>
              <w:t>Некрасовский муниципальный округ</w:t>
            </w:r>
          </w:p>
          <w:p w14:paraId="38C70551">
            <w:pPr>
              <w:pStyle w:val="6"/>
            </w:pPr>
            <w:r>
              <w:rPr>
                <w:sz w:val="24"/>
              </w:rPr>
              <w:t>Первомайский муниципальный округ</w:t>
            </w:r>
          </w:p>
          <w:p w14:paraId="1B1CB7CF">
            <w:pPr>
              <w:pStyle w:val="6"/>
            </w:pPr>
            <w:r>
              <w:rPr>
                <w:sz w:val="24"/>
              </w:rPr>
              <w:t>Пошехонский муниципальный округ</w:t>
            </w:r>
          </w:p>
          <w:p w14:paraId="533AAB38">
            <w:pPr>
              <w:pStyle w:val="6"/>
            </w:pPr>
            <w:r>
              <w:rPr>
                <w:sz w:val="24"/>
              </w:rPr>
              <w:t>Рыбинский муниципальный округ:</w:t>
            </w:r>
          </w:p>
          <w:p w14:paraId="14395EDA">
            <w:pPr>
              <w:pStyle w:val="6"/>
              <w:ind w:left="283"/>
            </w:pPr>
            <w:r>
              <w:rPr>
                <w:sz w:val="24"/>
              </w:rPr>
              <w:t>Арефинский сельский округ</w:t>
            </w:r>
          </w:p>
          <w:p w14:paraId="6CBF9F77">
            <w:pPr>
              <w:pStyle w:val="6"/>
              <w:ind w:left="283"/>
            </w:pPr>
            <w:r>
              <w:rPr>
                <w:sz w:val="24"/>
              </w:rPr>
              <w:t>Ломовский сельский округ</w:t>
            </w:r>
          </w:p>
          <w:p w14:paraId="1DAB2908">
            <w:pPr>
              <w:pStyle w:val="6"/>
              <w:ind w:left="283"/>
            </w:pPr>
            <w:r>
              <w:rPr>
                <w:sz w:val="24"/>
              </w:rPr>
              <w:t>Назаровский сельский округ</w:t>
            </w:r>
          </w:p>
          <w:p w14:paraId="494DC39C">
            <w:pPr>
              <w:pStyle w:val="6"/>
              <w:ind w:left="283"/>
            </w:pPr>
            <w:r>
              <w:rPr>
                <w:sz w:val="24"/>
              </w:rPr>
              <w:t>Огарковский сельский округ</w:t>
            </w:r>
          </w:p>
          <w:p w14:paraId="5D320F14">
            <w:pPr>
              <w:pStyle w:val="6"/>
              <w:ind w:left="283"/>
            </w:pPr>
            <w:r>
              <w:rPr>
                <w:sz w:val="24"/>
              </w:rPr>
              <w:t>Октябрьский сельский округ</w:t>
            </w:r>
          </w:p>
          <w:p w14:paraId="471C4300">
            <w:pPr>
              <w:pStyle w:val="6"/>
              <w:ind w:left="283"/>
            </w:pPr>
            <w:r>
              <w:rPr>
                <w:sz w:val="24"/>
              </w:rPr>
              <w:t>Песоченский сельский округ</w:t>
            </w:r>
          </w:p>
          <w:p w14:paraId="2CD33FFD">
            <w:pPr>
              <w:pStyle w:val="6"/>
              <w:ind w:left="283"/>
            </w:pPr>
            <w:r>
              <w:rPr>
                <w:sz w:val="24"/>
              </w:rPr>
              <w:t>Шашковский сельский округ</w:t>
            </w:r>
          </w:p>
          <w:p w14:paraId="7AC1D0AA">
            <w:pPr>
              <w:pStyle w:val="6"/>
            </w:pPr>
            <w:r>
              <w:rPr>
                <w:sz w:val="24"/>
              </w:rPr>
              <w:t>Тутаевский муниципальный округ</w:t>
            </w:r>
          </w:p>
          <w:p w14:paraId="414C20B7">
            <w:pPr>
              <w:pStyle w:val="6"/>
            </w:pPr>
            <w:r>
              <w:rPr>
                <w:sz w:val="24"/>
              </w:rPr>
              <w:t>Ярославский муниципальный округ:</w:t>
            </w:r>
          </w:p>
          <w:p w14:paraId="34CAAF33">
            <w:pPr>
              <w:pStyle w:val="6"/>
              <w:ind w:left="283"/>
            </w:pPr>
            <w:r>
              <w:rPr>
                <w:sz w:val="24"/>
              </w:rPr>
              <w:t>Гавриловский сельский округ</w:t>
            </w:r>
          </w:p>
          <w:p w14:paraId="6A3A397C">
            <w:pPr>
              <w:pStyle w:val="6"/>
              <w:ind w:left="283"/>
            </w:pPr>
            <w:r>
              <w:rPr>
                <w:sz w:val="24"/>
              </w:rPr>
              <w:t>Глебовский сельский округ</w:t>
            </w:r>
          </w:p>
          <w:p w14:paraId="2C6B2D9B">
            <w:pPr>
              <w:pStyle w:val="6"/>
              <w:ind w:left="283"/>
            </w:pPr>
            <w:r>
              <w:rPr>
                <w:sz w:val="24"/>
              </w:rPr>
              <w:t>Кузнечихинский сельский округ</w:t>
            </w:r>
          </w:p>
          <w:p w14:paraId="16731637">
            <w:pPr>
              <w:pStyle w:val="6"/>
              <w:ind w:left="283"/>
            </w:pPr>
            <w:r>
              <w:rPr>
                <w:sz w:val="24"/>
              </w:rPr>
              <w:t>Левцовский сельский округ</w:t>
            </w:r>
          </w:p>
          <w:p w14:paraId="791D6AB5">
            <w:pPr>
              <w:pStyle w:val="6"/>
              <w:ind w:left="283"/>
            </w:pPr>
            <w:r>
              <w:rPr>
                <w:sz w:val="24"/>
              </w:rPr>
              <w:t>Некрасовский сельский округ</w:t>
            </w:r>
          </w:p>
          <w:p w14:paraId="21724AE4">
            <w:pPr>
              <w:pStyle w:val="6"/>
              <w:ind w:left="283"/>
            </w:pPr>
            <w:r>
              <w:rPr>
                <w:sz w:val="24"/>
              </w:rPr>
              <w:t>Пестрецовский сельский округ</w:t>
            </w:r>
          </w:p>
          <w:p w14:paraId="0934B9CC">
            <w:pPr>
              <w:pStyle w:val="6"/>
              <w:ind w:left="283"/>
            </w:pPr>
            <w:r>
              <w:rPr>
                <w:sz w:val="24"/>
              </w:rPr>
              <w:t>Рютневский сельский округ</w:t>
            </w:r>
          </w:p>
          <w:p w14:paraId="143DFF69">
            <w:pPr>
              <w:pStyle w:val="6"/>
              <w:ind w:left="283"/>
            </w:pPr>
            <w:r>
              <w:rPr>
                <w:sz w:val="24"/>
              </w:rPr>
              <w:t>Толбухинский сельский округ</w:t>
            </w:r>
          </w:p>
          <w:p w14:paraId="33FE0D2D">
            <w:pPr>
              <w:pStyle w:val="6"/>
              <w:ind w:left="283"/>
            </w:pPr>
            <w:r>
              <w:rPr>
                <w:sz w:val="24"/>
              </w:rPr>
              <w:t>Точищенский сельский округ</w:t>
            </w:r>
          </w:p>
          <w:p w14:paraId="698289A8">
            <w:pPr>
              <w:pStyle w:val="6"/>
              <w:ind w:left="283"/>
            </w:pPr>
            <w:r>
              <w:rPr>
                <w:sz w:val="24"/>
              </w:rPr>
              <w:t>рабочий поселок Лесная Поляна</w:t>
            </w:r>
          </w:p>
        </w:tc>
        <w:tc>
          <w:tcPr>
            <w:tcW w:w="1100" w:type="dxa"/>
          </w:tcPr>
          <w:p w14:paraId="7C4E1CB2">
            <w:pPr>
              <w:pStyle w:val="6"/>
              <w:jc w:val="right"/>
            </w:pPr>
            <w:r>
              <w:rPr>
                <w:sz w:val="24"/>
              </w:rPr>
              <w:t>515 903</w:t>
            </w:r>
          </w:p>
        </w:tc>
      </w:tr>
    </w:tbl>
    <w:p w14:paraId="11633438">
      <w:pPr>
        <w:pStyle w:val="6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566" w:bottom="1440" w:left="1133" w:header="0" w:footer="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18139">
    <w:pPr>
      <w:pBdr>
        <w:bottom w:val="single" w:color="auto" w:sz="12" w:space="0"/>
      </w:pBdr>
      <w:rPr>
        <w:sz w:val="2"/>
        <w:szCs w:val="2"/>
      </w:rPr>
    </w:pPr>
  </w:p>
  <w:tbl>
    <w:tblPr>
      <w:tblStyle w:val="3"/>
      <w:tblW w:w="5000" w:type="pct"/>
      <w:tblInd w:w="0" w:type="dxa"/>
      <w:tblLayout w:type="autofit"/>
      <w:tblCellMar>
        <w:top w:w="0" w:type="dxa"/>
        <w:left w:w="40" w:type="dxa"/>
        <w:bottom w:w="0" w:type="dxa"/>
        <w:right w:w="40" w:type="dxa"/>
      </w:tblCellMar>
    </w:tblPr>
    <w:tblGrid>
      <w:gridCol w:w="10287"/>
    </w:tblGrid>
    <w:tr w14:paraId="4A2514AA">
      <w:tblPrEx>
        <w:tblCellMar>
          <w:top w:w="0" w:type="dxa"/>
          <w:left w:w="40" w:type="dxa"/>
          <w:bottom w:w="0" w:type="dxa"/>
          <w:right w:w="40" w:type="dxa"/>
        </w:tblCellMar>
      </w:tblPrEx>
      <w:trPr>
        <w:trHeight w:val="1663" w:hRule="exact"/>
      </w:trPr>
      <w:tc>
        <w:tcPr>
          <w:tcW w:w="1650" w:type="pct"/>
          <w:gridSpan w:val="0"/>
          <w:vAlign w:val="center"/>
        </w:tcPr>
        <w:p w14:paraId="7866B3C0"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 w:type="textWrapping"/>
          </w:r>
          <w:r>
            <w:rPr>
              <w:rFonts w:ascii="Tahoma" w:hAnsi="Tahoma" w:cs="Tahoma"/>
              <w:b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14:paraId="41ADA273">
          <w:pPr>
            <w:jc w:val="center"/>
          </w:pPr>
          <w:r>
            <w:fldChar w:fldCharType="begin"/>
          </w:r>
          <w:r>
            <w:instrText xml:space="preserve"> HYPERLINK "https://www.consultant.ru" \h </w:instrText>
          </w:r>
          <w:r>
            <w:fldChar w:fldCharType="separate"/>
          </w:r>
          <w:r>
            <w:rPr>
              <w:rFonts w:ascii="Tahoma" w:hAnsi="Tahoma" w:cs="Tahoma"/>
              <w:b/>
              <w:color w:val="0000FF"/>
            </w:rPr>
            <w:t>www.consultant.ru</w:t>
          </w:r>
          <w:r>
            <w:rPr>
              <w:rFonts w:ascii="Tahoma" w:hAnsi="Tahoma" w:cs="Tahoma"/>
              <w:b/>
              <w:color w:val="0000FF"/>
            </w:rPr>
            <w:fldChar w:fldCharType="end"/>
          </w:r>
        </w:p>
      </w:tc>
      <w:tc>
        <w:tcPr>
          <w:tcW w:w="1650" w:type="pct"/>
          <w:gridSpan w:val="0"/>
          <w:vAlign w:val="center"/>
        </w:tcPr>
        <w:p w14:paraId="37612831"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14:paraId="0638AE98"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7E7F3">
    <w:pPr>
      <w:pBdr>
        <w:bottom w:val="single" w:color="auto" w:sz="12" w:space="0"/>
      </w:pBdr>
      <w:rPr>
        <w:sz w:val="2"/>
        <w:szCs w:val="2"/>
      </w:rPr>
    </w:pPr>
  </w:p>
  <w:tbl>
    <w:tblPr>
      <w:tblStyle w:val="3"/>
      <w:tblW w:w="5000" w:type="pct"/>
      <w:tblInd w:w="0" w:type="dxa"/>
      <w:tblLayout w:type="autofit"/>
      <w:tblCellMar>
        <w:top w:w="0" w:type="dxa"/>
        <w:left w:w="40" w:type="dxa"/>
        <w:bottom w:w="0" w:type="dxa"/>
        <w:right w:w="40" w:type="dxa"/>
      </w:tblCellMar>
    </w:tblPr>
    <w:tblGrid>
      <w:gridCol w:w="10287"/>
    </w:tblGrid>
    <w:tr w14:paraId="16F5DB4C">
      <w:tblPrEx>
        <w:tblCellMar>
          <w:top w:w="0" w:type="dxa"/>
          <w:left w:w="40" w:type="dxa"/>
          <w:bottom w:w="0" w:type="dxa"/>
          <w:right w:w="40" w:type="dxa"/>
        </w:tblCellMar>
      </w:tblPrEx>
      <w:trPr>
        <w:trHeight w:val="1663" w:hRule="exact"/>
      </w:trPr>
      <w:tc>
        <w:tcPr>
          <w:tcW w:w="1650" w:type="pct"/>
          <w:gridSpan w:val="0"/>
          <w:vAlign w:val="center"/>
        </w:tcPr>
        <w:p w14:paraId="139C0806"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 w:type="textWrapping"/>
          </w:r>
          <w:r>
            <w:rPr>
              <w:rFonts w:ascii="Tahoma" w:hAnsi="Tahoma" w:cs="Tahoma"/>
              <w:b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14:paraId="3DD56A14">
          <w:pPr>
            <w:jc w:val="center"/>
          </w:pPr>
        </w:p>
      </w:tc>
      <w:tc>
        <w:tcPr>
          <w:tcW w:w="1650" w:type="pct"/>
          <w:gridSpan w:val="0"/>
          <w:vAlign w:val="center"/>
        </w:tcPr>
        <w:p w14:paraId="74846FE4"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14:paraId="6FAD5544"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5000" w:type="pc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44"/>
      <w:gridCol w:w="5144"/>
    </w:tblGrid>
    <w:tr w14:paraId="54B75858">
      <w:tblPrEx>
        <w:tblCellMar>
          <w:top w:w="0" w:type="dxa"/>
          <w:left w:w="40" w:type="dxa"/>
          <w:bottom w:w="0" w:type="dxa"/>
          <w:right w:w="40" w:type="dxa"/>
        </w:tblCellMar>
      </w:tblPrEx>
      <w:trPr>
        <w:trHeight w:val="1683" w:hRule="exact"/>
      </w:trPr>
      <w:tc>
        <w:tcPr>
          <w:tcW w:w="2700" w:type="pct"/>
          <w:vAlign w:val="center"/>
        </w:tcPr>
        <w:p w14:paraId="6F8AAF5F"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23.05.2025 N 107-ФЗ</w:t>
          </w:r>
          <w:r>
            <w:rPr>
              <w:rFonts w:ascii="Tahoma" w:hAnsi="Tahoma" w:cs="Tahoma"/>
              <w:sz w:val="16"/>
              <w:szCs w:val="16"/>
            </w:rPr>
            <w:br w:type="textWrapping"/>
          </w:r>
          <w:r>
            <w:rPr>
              <w:rFonts w:ascii="Tahoma" w:hAnsi="Tahoma" w:cs="Tahoma"/>
              <w:sz w:val="16"/>
              <w:szCs w:val="16"/>
            </w:rPr>
            <w:t>"Об утверждении схемы одномандатных избирательных округов для проведения выборо...</w:t>
          </w:r>
        </w:p>
      </w:tc>
      <w:tc>
        <w:tcPr>
          <w:tcW w:w="2300" w:type="pct"/>
          <w:vAlign w:val="center"/>
        </w:tcPr>
        <w:p w14:paraId="10B36488"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r>
            <w:fldChar w:fldCharType="begin"/>
          </w:r>
          <w:r>
            <w:instrText xml:space="preserve"> HYPERLINK "https://www.consultant.ru" \o "КонсультантПлюс - надежная правовая система" \h </w:instrText>
          </w:r>
          <w:r>
            <w:fldChar w:fldCharType="separate"/>
          </w:r>
          <w:r>
            <w:rPr>
              <w:rFonts w:ascii="Tahoma" w:hAnsi="Tahoma" w:cs="Tahoma"/>
              <w:color w:val="0000FF"/>
              <w:sz w:val="18"/>
              <w:szCs w:val="18"/>
            </w:rPr>
            <w:t>КонсультантПлюс</w:t>
          </w:r>
          <w:r>
            <w:rPr>
              <w:rFonts w:ascii="Tahoma" w:hAnsi="Tahoma" w:cs="Tahoma"/>
              <w:color w:val="0000FF"/>
              <w:sz w:val="18"/>
              <w:szCs w:val="18"/>
            </w:rPr>
            <w:fldChar w:fldCharType="end"/>
          </w:r>
          <w:r>
            <w:rPr>
              <w:rFonts w:ascii="Tahoma" w:hAnsi="Tahoma" w:cs="Tahoma"/>
              <w:sz w:val="18"/>
              <w:szCs w:val="18"/>
            </w:rPr>
            <w:br w:type="textWrapping"/>
          </w:r>
          <w:r>
            <w:rPr>
              <w:rFonts w:ascii="Tahoma" w:hAnsi="Tahoma" w:cs="Tahoma"/>
              <w:sz w:val="16"/>
              <w:szCs w:val="16"/>
            </w:rPr>
            <w:t>Дата сохранения: 22.07.2026</w:t>
          </w:r>
        </w:p>
      </w:tc>
    </w:tr>
  </w:tbl>
  <w:p w14:paraId="163A5342">
    <w:pPr>
      <w:pBdr>
        <w:bottom w:val="single" w:color="auto" w:sz="12" w:space="0"/>
      </w:pBdr>
      <w:rPr>
        <w:sz w:val="2"/>
        <w:szCs w:val="2"/>
      </w:rPr>
    </w:pPr>
  </w:p>
  <w:p w14:paraId="35FBC86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5000" w:type="pc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44"/>
      <w:gridCol w:w="5144"/>
    </w:tblGrid>
    <w:tr w14:paraId="0085BD8C">
      <w:tblPrEx>
        <w:tblCellMar>
          <w:top w:w="0" w:type="dxa"/>
          <w:left w:w="40" w:type="dxa"/>
          <w:bottom w:w="0" w:type="dxa"/>
          <w:right w:w="40" w:type="dxa"/>
        </w:tblCellMar>
      </w:tblPrEx>
      <w:trPr>
        <w:trHeight w:val="1683" w:hRule="exact"/>
      </w:trPr>
      <w:tc>
        <w:tcPr>
          <w:tcW w:w="2700" w:type="pct"/>
          <w:vAlign w:val="center"/>
        </w:tcPr>
        <w:p w14:paraId="272D46F0">
          <w:pPr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31AA1657">
          <w:pPr>
            <w:jc w:val="right"/>
            <w:rPr>
              <w:rFonts w:ascii="Tahoma" w:hAnsi="Tahoma" w:cs="Tahoma"/>
            </w:rPr>
          </w:pPr>
        </w:p>
      </w:tc>
    </w:tr>
  </w:tbl>
  <w:p w14:paraId="26417028">
    <w:pPr>
      <w:pBdr>
        <w:bottom w:val="single" w:color="auto" w:sz="12" w:space="0"/>
      </w:pBdr>
      <w:rPr>
        <w:sz w:val="2"/>
        <w:szCs w:val="2"/>
      </w:rPr>
    </w:pPr>
  </w:p>
  <w:p w14:paraId="648A34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3875"/>
    <w:rsid w:val="58F46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  <w:style w:type="paragraph" w:customStyle="1" w:styleId="7">
    <w:name w:val="ConsPlusNonforma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lang w:val="ru-RU" w:eastAsia="ru-RU" w:bidi="ar-SA"/>
    </w:rPr>
  </w:style>
  <w:style w:type="paragraph" w:customStyle="1" w:styleId="8">
    <w:name w:val="ConsPlusTitle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 w:eastAsiaTheme="minorEastAsia"/>
      <w:b/>
      <w:sz w:val="24"/>
      <w:lang w:val="ru-RU" w:eastAsia="ru-RU" w:bidi="ar-SA"/>
    </w:rPr>
  </w:style>
  <w:style w:type="paragraph" w:customStyle="1" w:styleId="9">
    <w:name w:val="ConsPlusCel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lang w:val="ru-RU" w:eastAsia="ru-RU" w:bidi="ar-SA"/>
    </w:rPr>
  </w:style>
  <w:style w:type="paragraph" w:customStyle="1" w:styleId="10">
    <w:name w:val="ConsPlusDocLis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18"/>
      <w:lang w:val="ru-RU" w:eastAsia="ru-RU" w:bidi="ar-SA"/>
    </w:rPr>
  </w:style>
  <w:style w:type="paragraph" w:customStyle="1" w:styleId="11">
    <w:name w:val="ConsPlusTitlePage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0"/>
      <w:lang w:val="ru-RU" w:eastAsia="ru-RU" w:bidi="ar-SA"/>
    </w:rPr>
  </w:style>
  <w:style w:type="paragraph" w:customStyle="1" w:styleId="12">
    <w:name w:val="ConsPlusJurTerm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6"/>
      <w:lang w:val="ru-RU" w:eastAsia="ru-RU" w:bidi="ar-SA"/>
    </w:rPr>
  </w:style>
  <w:style w:type="paragraph" w:customStyle="1" w:styleId="13">
    <w:name w:val="ConsPlusJurTerm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6"/>
      <w:lang w:val="ru-RU" w:eastAsia="ru-RU" w:bidi="ar-SA"/>
    </w:rPr>
  </w:style>
  <w:style w:type="paragraph" w:customStyle="1" w:styleId="14">
    <w:name w:val="ConsPlusTextLis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  <w:style w:type="paragraph" w:customStyle="1" w:styleId="15">
    <w:name w:val="ConsPlusTextList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  <w:style w:type="paragraph" w:customStyle="1" w:styleId="16">
    <w:name w:val="ConsPlusNormal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  <w:style w:type="paragraph" w:customStyle="1" w:styleId="17">
    <w:name w:val="ConsPlusNonformat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lang w:val="ru-RU" w:eastAsia="ru-RU" w:bidi="ar-SA"/>
    </w:rPr>
  </w:style>
  <w:style w:type="paragraph" w:customStyle="1" w:styleId="18">
    <w:name w:val="ConsPlusTitle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 w:eastAsiaTheme="minorEastAsia"/>
      <w:b/>
      <w:sz w:val="24"/>
      <w:lang w:val="ru-RU" w:eastAsia="ru-RU" w:bidi="ar-SA"/>
    </w:rPr>
  </w:style>
  <w:style w:type="paragraph" w:customStyle="1" w:styleId="19">
    <w:name w:val="ConsPlusCell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lang w:val="ru-RU" w:eastAsia="ru-RU" w:bidi="ar-SA"/>
    </w:rPr>
  </w:style>
  <w:style w:type="paragraph" w:customStyle="1" w:styleId="20">
    <w:name w:val="ConsPlusDocList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18"/>
      <w:lang w:val="ru-RU" w:eastAsia="ru-RU" w:bidi="ar-SA"/>
    </w:rPr>
  </w:style>
  <w:style w:type="paragraph" w:customStyle="1" w:styleId="21">
    <w:name w:val="ConsPlusTitlePage1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0"/>
      <w:lang w:val="ru-RU" w:eastAsia="ru-RU" w:bidi="ar-SA"/>
    </w:rPr>
  </w:style>
  <w:style w:type="paragraph" w:customStyle="1" w:styleId="22">
    <w:name w:val="ConsPlusJurTerm2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6"/>
      <w:lang w:val="ru-RU" w:eastAsia="ru-RU" w:bidi="ar-SA"/>
    </w:rPr>
  </w:style>
  <w:style w:type="paragraph" w:customStyle="1" w:styleId="23">
    <w:name w:val="ConsPlusJurTerm3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6"/>
      <w:lang w:val="ru-RU" w:eastAsia="ru-RU" w:bidi="ar-SA"/>
    </w:rPr>
  </w:style>
  <w:style w:type="paragraph" w:customStyle="1" w:styleId="24">
    <w:name w:val="ConsPlusTextList2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  <w:style w:type="paragraph" w:customStyle="1" w:styleId="25">
    <w:name w:val="ConsPlusTextList3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КонсультантПлюс Версия 4025.00.50</Company>
  <Pages>2</Pages>
  <Words>248</Words>
  <Characters>2050</Characters>
  <TotalTime>26</TotalTime>
  <ScaleCrop>false</ScaleCrop>
  <LinksUpToDate>false</LinksUpToDate>
  <CharactersWithSpaces>2221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2026-07-22T13:28:00Z</dcterms:created>
  <dc:creator>zakupki</dc:creator>
  <cp:lastModifiedBy>zakupki</cp:lastModifiedBy>
  <dcterms:modified xsi:type="dcterms:W3CDTF">2026-09-09T07:29:37Z</dcterms:modified>
  <dc:title>Федеральный закон от 23.05.2025 N 107-ФЗ
"Об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eyJoZGlkIjoiMDcyNzJkOWQ0NjFiNTczZmZkMzNkOTJmYmZhMDE5OGEiLCJ1c2VySWQiOiI4NDIwODgyOTQzOTcifQ==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40EFE663F91A40EAB993B0F2D9A5AA67_13</vt:lpwstr>
  </property>
</Properties>
</file>